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2</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w:t>
      </w:r>
      <w:r>
        <w:rPr>
          <w:rFonts w:hint="eastAsia" w:asciiTheme="minorEastAsia" w:hAnsiTheme="minorEastAsia" w:eastAsiaTheme="minorEastAsia"/>
          <w:b/>
          <w:color w:val="FF0000"/>
          <w:kern w:val="0"/>
          <w:sz w:val="28"/>
          <w:szCs w:val="28"/>
          <w:lang w:val="en-US" w:eastAsia="zh-CN"/>
        </w:rPr>
        <w:t>10</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23</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hint="eastAsia"/>
          <w:kern w:val="0"/>
        </w:rPr>
      </w:pPr>
      <w:r>
        <w:rPr>
          <w:rFonts w:hint="eastAsia"/>
          <w:b/>
          <w:bCs/>
          <w:kern w:val="0"/>
          <w:sz w:val="24"/>
        </w:rPr>
        <w:t>一、学工简讯</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"http://www.jvtc.jx.cn/zf11_news.asp?id=4673" \o " 我校在2017年全国机械行业职业院校技能大赛喜获佳绩" </w:instrText>
      </w:r>
      <w:r>
        <w:rPr>
          <w:rFonts w:hint="eastAsia"/>
          <w:kern w:val="0"/>
        </w:rPr>
        <w:fldChar w:fldCharType="separate"/>
      </w:r>
      <w:r>
        <w:rPr>
          <w:rFonts w:hint="eastAsia"/>
          <w:kern w:val="0"/>
        </w:rPr>
        <w:t>我校在2017年全国机械行业职业院校技能大赛喜获佳绩</w:t>
      </w:r>
      <w:r>
        <w:rPr>
          <w:rFonts w:hint="eastAsia"/>
          <w:kern w:val="0"/>
        </w:rPr>
        <w:fldChar w:fldCharType="end"/>
      </w:r>
      <w:r>
        <w:rPr>
          <w:rFonts w:hint="eastAsia"/>
          <w:kern w:val="0"/>
        </w:rPr>
        <w:t>（2017-10-</w:t>
      </w:r>
      <w:r>
        <w:rPr>
          <w:rFonts w:hint="eastAsia"/>
          <w:kern w:val="0"/>
          <w:lang w:val="en-US" w:eastAsia="zh-CN"/>
        </w:rPr>
        <w:t>27）</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"http://www.jvtc.jx.cn/zf11_news.asp?id=4674" \o "我校召开第五届校级专业带头人和骨干教师评选工作会议" </w:instrText>
      </w:r>
      <w:r>
        <w:rPr>
          <w:rFonts w:hint="eastAsia"/>
          <w:kern w:val="0"/>
        </w:rPr>
        <w:fldChar w:fldCharType="separate"/>
      </w:r>
      <w:r>
        <w:rPr>
          <w:rFonts w:hint="eastAsia"/>
          <w:kern w:val="0"/>
        </w:rPr>
        <w:t>我校召开第五届校级专业带头人和骨干教师评选工作会议</w:t>
      </w:r>
      <w:r>
        <w:rPr>
          <w:rFonts w:hint="eastAsia"/>
          <w:kern w:val="0"/>
        </w:rPr>
        <w:fldChar w:fldCharType="end"/>
      </w:r>
      <w:r>
        <w:rPr>
          <w:rFonts w:hint="eastAsia"/>
          <w:kern w:val="0"/>
        </w:rPr>
        <w:t>（2017-10-</w:t>
      </w:r>
      <w:r>
        <w:rPr>
          <w:rFonts w:hint="eastAsia"/>
          <w:kern w:val="0"/>
          <w:lang w:val="en-US" w:eastAsia="zh-CN"/>
        </w:rPr>
        <w:t>28）</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"http://www.jvtc.jx.cn/zf11_news.asp?id=4677" \o "我校濂溪区社区学院启动\“全民终身学习活动周\”活动" </w:instrText>
      </w:r>
      <w:r>
        <w:rPr>
          <w:rFonts w:hint="eastAsia"/>
          <w:kern w:val="0"/>
        </w:rPr>
        <w:fldChar w:fldCharType="separate"/>
      </w:r>
      <w:r>
        <w:rPr>
          <w:rFonts w:hint="eastAsia"/>
          <w:kern w:val="0"/>
        </w:rPr>
        <w:t>我校濂溪区社区学院启动“全民终身学习活动周”活动</w:t>
      </w:r>
      <w:r>
        <w:rPr>
          <w:rFonts w:hint="eastAsia"/>
          <w:kern w:val="0"/>
        </w:rPr>
        <w:fldChar w:fldCharType="end"/>
      </w:r>
      <w:r>
        <w:rPr>
          <w:rFonts w:hint="eastAsia"/>
          <w:kern w:val="0"/>
        </w:rPr>
        <w:t>（2017-10-</w:t>
      </w:r>
      <w:r>
        <w:rPr>
          <w:rFonts w:hint="eastAsia"/>
          <w:kern w:val="0"/>
          <w:lang w:val="en-US" w:eastAsia="zh-CN"/>
        </w:rPr>
        <w:t>31）</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"http://www.jvtc.jx.cn/zf11_news.asp?id=4678" \o "我校召开中层干部大会学习传达党的十九大精神" </w:instrText>
      </w:r>
      <w:r>
        <w:rPr>
          <w:rFonts w:hint="eastAsia"/>
          <w:kern w:val="0"/>
        </w:rPr>
        <w:fldChar w:fldCharType="separate"/>
      </w:r>
      <w:r>
        <w:rPr>
          <w:rFonts w:hint="eastAsia"/>
          <w:kern w:val="0"/>
        </w:rPr>
        <w:t>我校召开中层干部大会学习传达党的十九大精神</w:t>
      </w:r>
      <w:r>
        <w:rPr>
          <w:rFonts w:hint="eastAsia"/>
          <w:kern w:val="0"/>
        </w:rPr>
        <w:fldChar w:fldCharType="end"/>
      </w:r>
      <w:r>
        <w:rPr>
          <w:rFonts w:hint="eastAsia"/>
          <w:kern w:val="0"/>
        </w:rPr>
        <w:t>（2017-10-</w:t>
      </w:r>
      <w:r>
        <w:rPr>
          <w:rFonts w:hint="eastAsia"/>
          <w:kern w:val="0"/>
          <w:lang w:val="en-US" w:eastAsia="zh-CN"/>
        </w:rPr>
        <w:t>31）</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"http://www.jvtc.jx.cn/zf11_news.asp?id=4682" \o "我校第三十二届田径运动会隆重开幕" </w:instrText>
      </w:r>
      <w:r>
        <w:rPr>
          <w:rFonts w:hint="eastAsia"/>
          <w:kern w:val="0"/>
        </w:rPr>
        <w:fldChar w:fldCharType="separate"/>
      </w:r>
      <w:r>
        <w:rPr>
          <w:rFonts w:hint="eastAsia"/>
          <w:kern w:val="0"/>
        </w:rPr>
        <w:t>我校第三十二届田径运动会隆重开幕</w:t>
      </w:r>
      <w:r>
        <w:rPr>
          <w:rFonts w:hint="eastAsia"/>
          <w:kern w:val="0"/>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2）</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"http://www.jvtc.jx.cn/zf11_news.asp?id=4684" \o "我校学子在\“外研社杯\”全国高职高专英语写作大赛（江西赛区）中喜获佳绩" </w:instrText>
      </w:r>
      <w:r>
        <w:rPr>
          <w:rFonts w:hint="eastAsia"/>
          <w:kern w:val="0"/>
        </w:rPr>
        <w:fldChar w:fldCharType="separate"/>
      </w:r>
      <w:r>
        <w:rPr>
          <w:rFonts w:hint="eastAsia"/>
          <w:kern w:val="0"/>
        </w:rPr>
        <w:t>我校学子在“外研社杯”全国高职高专英语写作大赛（江西赛区）中...</w:t>
      </w:r>
      <w:r>
        <w:rPr>
          <w:rFonts w:hint="eastAsia"/>
          <w:kern w:val="0"/>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3）</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"http://www.jvtc.jx.cn/zf11_news.asp?id=4685" \o "我校第三十二届田径运动会胜利闭幕" </w:instrText>
      </w:r>
      <w:r>
        <w:rPr>
          <w:rFonts w:hint="eastAsia"/>
          <w:kern w:val="0"/>
        </w:rPr>
        <w:fldChar w:fldCharType="separate"/>
      </w:r>
      <w:r>
        <w:rPr>
          <w:rFonts w:hint="eastAsia"/>
          <w:kern w:val="0"/>
        </w:rPr>
        <w:t>我校第三十二届田径运动会胜利闭幕</w:t>
      </w:r>
      <w:r>
        <w:rPr>
          <w:rFonts w:hint="eastAsia"/>
          <w:kern w:val="0"/>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4）</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"http://www.jvtc.jx.cn/zf11_news.asp?id=4686" \o "我校全面部署文明美丽校园建设工作" </w:instrText>
      </w:r>
      <w:r>
        <w:rPr>
          <w:rFonts w:hint="eastAsia"/>
          <w:kern w:val="0"/>
        </w:rPr>
        <w:fldChar w:fldCharType="separate"/>
      </w:r>
      <w:r>
        <w:rPr>
          <w:rFonts w:hint="eastAsia"/>
          <w:kern w:val="0"/>
        </w:rPr>
        <w:t>我校全面部署文明美丽校园建设工作</w:t>
      </w:r>
      <w:r>
        <w:rPr>
          <w:rFonts w:hint="eastAsia"/>
          <w:kern w:val="0"/>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4）</w:t>
      </w:r>
    </w:p>
    <w:p>
      <w:pPr>
        <w:numPr>
          <w:ilvl w:val="0"/>
          <w:numId w:val="1"/>
        </w:numPr>
        <w:jc w:val="left"/>
        <w:rPr>
          <w:rFonts w:hint="eastAsia"/>
          <w:kern w:val="0"/>
        </w:rPr>
      </w:pPr>
      <w:r>
        <w:rPr>
          <w:rFonts w:hint="eastAsia"/>
          <w:kern w:val="0"/>
        </w:rPr>
        <w:fldChar w:fldCharType="begin"/>
      </w:r>
      <w:r>
        <w:rPr>
          <w:rFonts w:hint="eastAsia"/>
          <w:kern w:val="0"/>
        </w:rPr>
        <w:instrText xml:space="preserve"> HYPERLINK "http://www.jvtc.jx.cn/zf11_news.asp?id=4687" \o " 我校举行第二十二个党风廉政建设月活动动员大会" </w:instrText>
      </w:r>
      <w:r>
        <w:rPr>
          <w:rFonts w:hint="eastAsia"/>
          <w:kern w:val="0"/>
        </w:rPr>
        <w:fldChar w:fldCharType="separate"/>
      </w:r>
      <w:r>
        <w:rPr>
          <w:rFonts w:hint="eastAsia"/>
          <w:kern w:val="0"/>
        </w:rPr>
        <w:t>我校举行第二十二个党风廉政建设月活动动员大会</w:t>
      </w:r>
      <w:r>
        <w:rPr>
          <w:rFonts w:hint="eastAsia"/>
          <w:kern w:val="0"/>
        </w:rPr>
        <w:fldChar w:fldCharType="end"/>
      </w:r>
      <w:r>
        <w:rPr>
          <w:rFonts w:hint="eastAsia"/>
          <w:kern w:val="0"/>
        </w:rPr>
        <w:t>（2017-1</w:t>
      </w:r>
      <w:r>
        <w:rPr>
          <w:rFonts w:hint="eastAsia"/>
          <w:kern w:val="0"/>
          <w:lang w:val="en-US" w:eastAsia="zh-CN"/>
        </w:rPr>
        <w:t>1</w:t>
      </w:r>
      <w:r>
        <w:rPr>
          <w:rFonts w:hint="eastAsia"/>
          <w:kern w:val="0"/>
        </w:rPr>
        <w:t>-</w:t>
      </w:r>
      <w:r>
        <w:rPr>
          <w:rFonts w:hint="eastAsia"/>
          <w:kern w:val="0"/>
          <w:lang w:val="en-US" w:eastAsia="zh-CN"/>
        </w:rPr>
        <w:t>4）</w:t>
      </w:r>
    </w:p>
    <w:p>
      <w:pPr>
        <w:spacing w:before="156"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spacing w:line="360" w:lineRule="auto"/>
        <w:jc w:val="left"/>
        <w:rPr>
          <w:rFonts w:hint="eastAsia"/>
          <w:kern w:val="0"/>
        </w:rPr>
      </w:pPr>
      <w:r>
        <w:rPr>
          <w:rFonts w:hint="eastAsia"/>
          <w:kern w:val="0"/>
          <w:lang w:val="en-US" w:eastAsia="zh-CN"/>
        </w:rPr>
        <w:t>1、</w:t>
      </w:r>
      <w:r>
        <w:rPr>
          <w:rFonts w:hint="eastAsia"/>
          <w:kern w:val="0"/>
        </w:rPr>
        <w:t> </w:t>
      </w:r>
      <w:r>
        <w:rPr>
          <w:rFonts w:hint="eastAsia"/>
          <w:kern w:val="0"/>
        </w:rPr>
        <w:fldChar w:fldCharType="begin"/>
      </w:r>
      <w:r>
        <w:rPr>
          <w:rFonts w:hint="eastAsia"/>
          <w:kern w:val="0"/>
        </w:rPr>
        <w:instrText xml:space="preserve"> HYPERLINK "http://xz.jvtc.jx.cn/JVTC_XG/WebSite/Web/ShowInfo-LJw34Jmu~aahaacbc~MH~cha.html" \t "http://xz.jvtc.jx.cn/JVTC_XG/WebSite/Web/_blank" </w:instrText>
      </w:r>
      <w:r>
        <w:rPr>
          <w:rFonts w:hint="eastAsia"/>
          <w:kern w:val="0"/>
        </w:rPr>
        <w:fldChar w:fldCharType="separate"/>
      </w:r>
      <w:r>
        <w:rPr>
          <w:rFonts w:hint="eastAsia"/>
          <w:kern w:val="0"/>
        </w:rPr>
        <w:t>机械工程学院举办微团课大赛</w:t>
      </w:r>
      <w:r>
        <w:rPr>
          <w:rFonts w:hint="eastAsia"/>
          <w:kern w:val="0"/>
        </w:rPr>
        <w:fldChar w:fldCharType="end"/>
      </w:r>
      <w:bookmarkStart w:id="0" w:name="_GoBack"/>
      <w:bookmarkEnd w:id="0"/>
    </w:p>
    <w:p>
      <w:pPr>
        <w:spacing w:line="360" w:lineRule="auto"/>
        <w:jc w:val="left"/>
        <w:rPr>
          <w:rFonts w:hint="eastAsia"/>
          <w:kern w:val="0"/>
        </w:rPr>
      </w:pPr>
      <w:r>
        <w:rPr>
          <w:rFonts w:hint="eastAsia"/>
          <w:kern w:val="0"/>
          <w:lang w:val="en-US" w:eastAsia="zh-CN"/>
        </w:rPr>
        <w:t>2、</w:t>
      </w:r>
      <w:r>
        <w:rPr>
          <w:rFonts w:hint="eastAsia"/>
          <w:kern w:val="0"/>
        </w:rPr>
        <w:t>机械工程学院组织开展义务献血活动</w:t>
      </w:r>
    </w:p>
    <w:p>
      <w:pPr>
        <w:numPr>
          <w:ilvl w:val="0"/>
          <w:numId w:val="0"/>
        </w:numPr>
        <w:jc w:val="left"/>
        <w:rPr>
          <w:rFonts w:hint="eastAsia" w:ascii="宋体" w:hAnsi="宋体" w:cs="宋体"/>
          <w:kern w:val="0"/>
        </w:rPr>
      </w:pPr>
      <w:r>
        <w:rPr>
          <w:rFonts w:hint="eastAsia" w:ascii="宋体" w:hAnsi="宋体" w:cs="宋体"/>
          <w:kern w:val="0"/>
          <w:lang w:eastAsia="zh-CN"/>
        </w:rPr>
        <w:t>（二）</w:t>
      </w:r>
      <w:r>
        <w:rPr>
          <w:rFonts w:hint="eastAsia" w:ascii="宋体" w:hAnsi="宋体" w:cs="宋体"/>
          <w:kern w:val="0"/>
        </w:rPr>
        <w:t>电气工程学院</w:t>
      </w:r>
    </w:p>
    <w:p>
      <w:pPr>
        <w:numPr>
          <w:ilvl w:val="0"/>
          <w:numId w:val="2"/>
        </w:numPr>
        <w:spacing w:line="360" w:lineRule="auto"/>
        <w:jc w:val="left"/>
        <w:rPr>
          <w:rFonts w:hint="eastAsia" w:ascii="宋体" w:hAnsi="宋体" w:cs="宋体"/>
          <w:kern w:val="0"/>
          <w:lang w:eastAsia="zh-CN"/>
        </w:rPr>
      </w:pPr>
      <w:r>
        <w:rPr>
          <w:rFonts w:hint="eastAsia" w:ascii="宋体" w:hAnsi="宋体" w:cs="宋体"/>
          <w:kern w:val="0"/>
          <w:lang w:eastAsia="zh-CN"/>
        </w:rPr>
        <w:t>电气工程学院开展爱心捐赠活动</w:t>
      </w:r>
    </w:p>
    <w:p>
      <w:pPr>
        <w:numPr>
          <w:ilvl w:val="0"/>
          <w:numId w:val="2"/>
        </w:numPr>
        <w:spacing w:line="360" w:lineRule="auto"/>
        <w:jc w:val="left"/>
        <w:rPr>
          <w:rFonts w:hint="eastAsia"/>
          <w:kern w:val="0"/>
          <w:lang w:val="en-US" w:eastAsia="zh-CN"/>
        </w:rPr>
      </w:pPr>
      <w:r>
        <w:rPr>
          <w:rFonts w:hint="eastAsia" w:ascii="宋体" w:hAnsi="宋体" w:cs="宋体"/>
          <w:kern w:val="0"/>
          <w:lang w:eastAsia="zh-CN"/>
        </w:rPr>
        <w:t>电气工程学院团总支召开党的十九大精神专题学习会</w:t>
      </w:r>
    </w:p>
    <w:p>
      <w:pPr>
        <w:numPr>
          <w:ilvl w:val="0"/>
          <w:numId w:val="0"/>
        </w:numPr>
        <w:jc w:val="left"/>
        <w:rPr>
          <w:rFonts w:hint="eastAsia" w:ascii="宋体" w:hAnsi="宋体" w:cs="宋体"/>
          <w:kern w:val="0"/>
          <w:lang w:eastAsia="zh-CN"/>
        </w:rPr>
      </w:pPr>
      <w:r>
        <w:rPr>
          <w:rFonts w:hint="eastAsia" w:ascii="宋体" w:hAnsi="宋体" w:cs="宋体"/>
          <w:kern w:val="0"/>
        </w:rPr>
        <w:t>（</w:t>
      </w:r>
      <w:r>
        <w:rPr>
          <w:rFonts w:hint="eastAsia" w:ascii="宋体" w:hAnsi="宋体" w:cs="宋体"/>
          <w:kern w:val="0"/>
          <w:lang w:eastAsia="zh-CN"/>
        </w:rPr>
        <w:t>三）汽车工程学院</w:t>
      </w:r>
    </w:p>
    <w:p>
      <w:pPr>
        <w:numPr>
          <w:ilvl w:val="0"/>
          <w:numId w:val="0"/>
        </w:numPr>
        <w:jc w:val="left"/>
        <w:rPr>
          <w:rFonts w:hint="eastAsia"/>
          <w:kern w:val="0"/>
        </w:rPr>
      </w:pPr>
      <w:r>
        <w:rPr>
          <w:rFonts w:hint="eastAsia"/>
          <w:kern w:val="0"/>
          <w:lang w:val="en-US" w:eastAsia="zh-CN"/>
        </w:rPr>
        <w:t>1、</w:t>
      </w:r>
      <w:r>
        <w:rPr>
          <w:rFonts w:hint="eastAsia"/>
          <w:kern w:val="0"/>
        </w:rPr>
        <w:t>汽车工程学院组织学习宣传党的十九大精神</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（四）</w:t>
      </w:r>
      <w:r>
        <w:rPr>
          <w:rFonts w:hint="eastAsia" w:ascii="宋体" w:hAnsi="宋体" w:cs="宋体"/>
          <w:kern w:val="0"/>
        </w:rPr>
        <w:t>建筑工程学院</w:t>
      </w:r>
    </w:p>
    <w:p>
      <w:pPr>
        <w:numPr>
          <w:ilvl w:val="0"/>
          <w:numId w:val="0"/>
        </w:numPr>
        <w:spacing w:line="360" w:lineRule="auto"/>
        <w:jc w:val="left"/>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1、建筑工程学院团总支召开党的十九大精神专题学习会</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（五）</w:t>
      </w:r>
      <w:r>
        <w:rPr>
          <w:rFonts w:hint="eastAsia" w:ascii="宋体" w:hAnsi="宋体" w:cs="宋体"/>
          <w:kern w:val="0"/>
        </w:rPr>
        <w:t>经济管理学院</w:t>
      </w:r>
    </w:p>
    <w:p>
      <w:pPr>
        <w:spacing w:line="360" w:lineRule="auto"/>
        <w:jc w:val="left"/>
        <w:rPr>
          <w:rFonts w:hint="eastAsia" w:ascii="宋体" w:hAnsi="宋体" w:eastAsia="宋体" w:cs="宋体"/>
          <w:b w:val="0"/>
          <w:kern w:val="0"/>
          <w:sz w:val="21"/>
          <w:szCs w:val="24"/>
          <w:lang w:val="en-US" w:eastAsia="zh-CN" w:bidi="ar-SA"/>
        </w:rPr>
      </w:pPr>
      <w:r>
        <w:rPr>
          <w:rFonts w:hint="eastAsia" w:ascii="宋体" w:hAnsi="宋体" w:cs="宋体"/>
          <w:kern w:val="0"/>
          <w:lang w:val="en-US" w:eastAsia="zh-CN"/>
        </w:rPr>
        <w:t>1、</w:t>
      </w:r>
      <w:r>
        <w:rPr>
          <w:rFonts w:hint="eastAsia" w:ascii="宋体" w:hAnsi="宋体" w:cs="宋体"/>
          <w:kern w:val="0"/>
          <w:lang w:eastAsia="zh-CN"/>
        </w:rPr>
        <w:t>经济管理学院团总支组织学习宣传贯彻党的十九大精神</w:t>
      </w:r>
    </w:p>
    <w:p>
      <w:pPr>
        <w:numPr>
          <w:ilvl w:val="0"/>
          <w:numId w:val="0"/>
        </w:numPr>
        <w:spacing w:line="360" w:lineRule="auto"/>
        <w:jc w:val="left"/>
        <w:rPr>
          <w:rFonts w:hint="eastAsia" w:ascii="宋体" w:hAnsi="宋体" w:cs="宋体"/>
          <w:kern w:val="0"/>
          <w:lang w:eastAsia="zh-CN"/>
        </w:rPr>
      </w:pPr>
      <w:r>
        <w:rPr>
          <w:rFonts w:hint="eastAsia" w:ascii="宋体" w:hAnsi="宋体" w:cs="宋体"/>
          <w:kern w:val="0"/>
          <w:lang w:eastAsia="zh-CN"/>
        </w:rPr>
        <w:t>（六）财会金融学院</w:t>
      </w:r>
    </w:p>
    <w:p>
      <w:pPr>
        <w:widowControl/>
        <w:spacing w:line="360" w:lineRule="auto"/>
        <w:jc w:val="both"/>
        <w:rPr>
          <w:rFonts w:hint="eastAsia" w:ascii="宋体" w:hAnsi="宋体" w:eastAsia="宋体" w:cs="宋体"/>
          <w:b w:val="0"/>
          <w:kern w:val="0"/>
          <w:sz w:val="21"/>
          <w:szCs w:val="24"/>
          <w:lang w:val="en-US" w:eastAsia="zh-CN" w:bidi="ar-SA"/>
        </w:rPr>
      </w:pPr>
      <w:r>
        <w:rPr>
          <w:rFonts w:hint="eastAsia" w:ascii="宋体" w:hAnsi="宋体" w:cs="宋体"/>
          <w:kern w:val="0"/>
          <w:lang w:val="en-US" w:eastAsia="zh-CN"/>
        </w:rPr>
        <w:t>1、财会金融学院团总支召开党的十九大精神专题学习会</w:t>
      </w:r>
    </w:p>
    <w:p>
      <w:pPr>
        <w:spacing w:before="156" w:beforeLines="50" w:after="156" w:afterLines="50" w:line="360" w:lineRule="auto"/>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三、教育管理</w:t>
      </w:r>
    </w:p>
    <w:p>
      <w:pPr>
        <w:spacing w:line="360" w:lineRule="auto"/>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（一）学生工作综述（</w:t>
      </w:r>
      <w:r>
        <w:rPr>
          <w:rFonts w:hint="eastAsia" w:ascii="宋体" w:hAnsi="宋体" w:cs="宋体"/>
          <w:color w:val="000000" w:themeColor="text1"/>
          <w:kern w:val="0"/>
          <w:lang w:val="en-US" w:eastAsia="zh-CN"/>
          <w14:textFill>
            <w14:solidFill>
              <w14:schemeClr w14:val="tx1"/>
            </w14:solidFill>
          </w14:textFill>
        </w:rPr>
        <w:t>7</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10</w:t>
      </w:r>
      <w:r>
        <w:rPr>
          <w:rFonts w:hint="eastAsia" w:ascii="宋体" w:hAnsi="宋体" w:cs="宋体"/>
          <w:color w:val="000000" w:themeColor="text1"/>
          <w:kern w:val="0"/>
          <w14:textFill>
            <w14:solidFill>
              <w14:schemeClr w14:val="tx1"/>
            </w14:solidFill>
          </w14:textFill>
        </w:rPr>
        <w:t>周</w:t>
      </w:r>
      <w:r>
        <w:rPr>
          <w:rFonts w:ascii="宋体" w:hAnsi="宋体" w:cs="宋体"/>
          <w:color w:val="000000" w:themeColor="text1"/>
          <w:kern w:val="0"/>
          <w14:textFill>
            <w14:solidFill>
              <w14:schemeClr w14:val="tx1"/>
            </w14:solidFill>
          </w14:textFill>
        </w:rPr>
        <w:t>）</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常规工作</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班级建设</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素质教育</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队伍建设</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资助工作</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宿管管理</w:t>
      </w:r>
    </w:p>
    <w:p>
      <w:pPr>
        <w:numPr>
          <w:ilvl w:val="0"/>
          <w:numId w:val="3"/>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学工、迎新系统应用</w:t>
      </w:r>
    </w:p>
    <w:p>
      <w:pPr>
        <w:numPr>
          <w:ilvl w:val="0"/>
          <w:numId w:val="4"/>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常规检查况汇总表（</w:t>
      </w:r>
      <w:r>
        <w:rPr>
          <w:rFonts w:hint="eastAsia" w:ascii="宋体" w:hAnsi="宋体" w:cs="宋体"/>
          <w:color w:val="000000" w:themeColor="text1"/>
          <w:kern w:val="0"/>
          <w:lang w:val="en-US" w:eastAsia="zh-CN"/>
          <w14:textFill>
            <w14:solidFill>
              <w14:schemeClr w14:val="tx1"/>
            </w14:solidFill>
          </w14:textFill>
        </w:rPr>
        <w:t>7</w:t>
      </w: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10</w:t>
      </w:r>
      <w:r>
        <w:rPr>
          <w:rFonts w:hint="eastAsia" w:ascii="宋体" w:hAnsi="宋体" w:cs="宋体"/>
          <w:color w:val="000000" w:themeColor="text1"/>
          <w:kern w:val="0"/>
          <w14:textFill>
            <w14:solidFill>
              <w14:schemeClr w14:val="tx1"/>
            </w14:solidFill>
          </w14:textFill>
        </w:rPr>
        <w:t>周）</w:t>
      </w:r>
    </w:p>
    <w:p>
      <w:p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（三）11月份学生工作月行事历</w:t>
      </w:r>
      <w:r>
        <w:rPr>
          <w:rFonts w:hint="eastAsia" w:ascii="宋体" w:hAnsi="宋体" w:cs="宋体"/>
          <w:color w:val="000000" w:themeColor="text1"/>
          <w:kern w:val="0"/>
          <w:lang w:eastAsia="zh-CN"/>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11-14周</w:t>
      </w:r>
      <w:r>
        <w:rPr>
          <w:rFonts w:hint="eastAsia" w:ascii="宋体" w:hAnsi="宋体" w:cs="宋体"/>
          <w:color w:val="000000" w:themeColor="text1"/>
          <w:kern w:val="0"/>
          <w:lang w:eastAsia="zh-CN"/>
          <w14:textFill>
            <w14:solidFill>
              <w14:schemeClr w14:val="tx1"/>
            </w14:solidFill>
          </w14:textFill>
        </w:rPr>
        <w:t>）</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常规工作</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班级建设</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素质教育</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资助工作</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宿管管理</w:t>
      </w:r>
    </w:p>
    <w:p>
      <w:pPr>
        <w:numPr>
          <w:ilvl w:val="0"/>
          <w:numId w:val="5"/>
        </w:numPr>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学工系统应用</w:t>
      </w:r>
    </w:p>
    <w:p>
      <w:pPr>
        <w:pStyle w:val="3"/>
        <w:rPr>
          <w:rFonts w:hint="eastAsia"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我校在2017年全国机械行业职业院校技能大赛喜获佳绩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10月25日上午，2017年全国机械行业职业院校技能大赛——‘华中数控杯’机器人装调与智能加工单元应用技术大赛在宁夏职业技术学院落下帷幕。由我校教师王文超指导、余孔明、方冬、谢旺星三位同学组成的竞赛团队荣获团体二等奖佳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大赛吸引了全国29所中高职院校的30支参赛队伍、120多名师生参加。为了备战比赛，机械工程学院选派了王文超老师指导备赛，选拔了余孔明、方冬、谢旺星三位同学组成竞赛团队。备赛期间，师生紧密配合，勤学苦练，比赛场上，团结拼搏，奋勇争先，最终荣获二等奖，充分展示了我校的人才培养水平与质量，反映了我校学子良好的专业技能、综合素质和创新能力。</w:t>
      </w:r>
    </w:p>
    <w:p>
      <w:pPr>
        <w:keepNext w:val="0"/>
        <w:keepLines w:val="0"/>
        <w:widowControl/>
        <w:suppressLineNumbers w:val="0"/>
        <w:shd w:val="clear" w:fill="FFFFFF"/>
        <w:spacing w:line="270" w:lineRule="atLeast"/>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本次大赛由全国机械职业教育教学指导委员会和机械工业教育发展中心举办，旨在促进工业机器人应用与维修和智能加工单元应用等产业发展急需的技术技能人才培养，提高人才培养质量。</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我校召开第五届校级专业带头人和骨干教师评选工作会议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10月27日上午，我校在十里校区3号教学楼大会议室召开第五届校级专业带头人和骨干教师评选工作会议。校长曾青生出席会议并讲话，副校长彭晓兰主持会议。人事处、教务处、科研处、质量办、发展规划处及各教学部门主要负责人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曾校长在会上讲话指出，开展第五届校级专业带头人和骨干教师评选工作是学校的一件大事，对学校创建优质高职院校具有重要意义。他就如何做好本次评选工作提出了四点具体要求：第一要提高政治站位，从三个方面充分认识专业带头人和骨干教师评选的重要性和必要性，一是本次评选是学校建设高素质、专业化教师队伍的迫切需要，二是引领学校广大教师推进新一轮重点专业建设的迫切需要，三是为国家和我省储备高层次人才的迫切需要；第二要广泛宣传动员，一是组织广大教师学习好评选办法和此次会议精神，掌握好评选条件、评选程序和评选要求，二是动员符合条件的教师积极申报，勇于担负起重点专业建设的重任，三是发动广大教师参与评选，为本部门推选高素质人才把好关；第三要从严把握评选条件，认真做到基本条件不降低、业绩条件不作假、能力条件不务虚，务必克服论资排辈搞评选、平衡关系搞评选、弄虚作假搞评选三种倾向；第四要力保评选质量，用好学校的政策杠杆，将过的硬、能干事、干好事、服大众的优秀人才评选出来。</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彭晓兰副校长强调，校级专业带头人和骨干教师评选是学校师资队伍建设的核心内容，是重点专业建设的重要支撑，更是优质高职院校建设的重要组成部分。她要求所有与会人员认真领会落实曾校长讲话精神，从高度重视、把握标准、严格程序、做好保障等方面扎实开展好本次评选工作。</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会上，人事处、教务处负责人对新修订的《专业带头人和骨干教师评选管理暂行办法》进行了解读，与各教学部门和相关职能部门负责人就相关内容进行了认真交流。</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我校濂溪区社区学院启动“全民终身学习活动周”活动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宣传全民终身学习理念，激发濂溪区居民积极向上、自觉学习的意识和热情。10月27号上午，由濂溪区教育局和我校继续教育学院联合主办、濂溪区社区学院承办的“全民终身学习活动周”启动仪式在南山公园举行。我校副校长、社区学院副理事长汪永根，濂溪区委常委、宣传部长、社区学院副理事长王安定，濂溪区政府副区长、社区学院副理事长傅晶出席，社区学院理事会全体成员、各社区教育学校及教学点负责人、社区居民代表及我校青年志愿者共240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汪永根在仪式上发表讲话，表示学校将继续以社区学院为平台，以启动“全民终身学习活动周”为契机，探索和发展职业院校社区教育办学模式，提升学校服务地方经济社会发展的能力，助力濂溪区终身教育体系和学习型社会建设。他最后号召每一人、每一家庭把学习作为生活的志趣、工作的需要、人生的追求，用不断提升的学习力、创新力、发展力开创更加美好的未来。</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王安定宣布“全民终身学习活动周”正式启动。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傅晶在仪式致辞中指出，“全民终身学习活动周”旨在学习贯彻党的十九大精神，进一步广泛宣传全民终身学习对于提升人民群众生活质量和文明素质的重要作用，竭力营造全区“人人学习、时时学习、处处学习”的良好氛围，将“全民终身学习周”不断打造成推动濂溪区学习型社会建设的重要平台。</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仪式上还举行了社区赠书活动。随后，一场精彩纷呈的文艺表演展示了我校师生和社区居民们乐观向上、奋发进取的精神风貌，博得现场观众阵阵掌声。</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我校召开中层干部大会学习传达党的十九大精神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10月30日16时，我校在十里校区3号教学楼大会议室召开全体中层干部大会，学习传达党的十九大精神。党委书记魏寒柏，校长曾青生，副校长刘南平、彭晓兰、汪永根、殷锡武出席，全体中层干部参加会议。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党委书记魏寒柏发表讲话。他指出，学习宣传贯彻党的十九大精神是全校当前和今后一段时期的首要政治任务。对于下一步如何学习宣传贯彻党的十九大精神，魏书记提出了三点要求：一是充分认识学习宣传贯彻党的十九大精神的重要意义，切实把广大党员干部、师生的思想统一到党的十九大精神上来；二是要在全校迅速掀起学习宣传贯彻党的十九大精神的热潮，使党的十九大精神家喻户晓、深入人心，抓好层层传达、认真学习、培训宣讲、精心宣传、干部示范等五个环节；三是要坚持学与思、学与用、知与行的高度统一，坚持把党的十九大精神内化于心、外化于行，落实到各自岗位上、体现到具体行动上。</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强调，学习宣传贯彻党的十九大精神要与推进“两学一做”学习教育常态化制度化的落实落地结合起来，与完成三年创新行动计划的项目任务结合起来、与创建国家优质校工作结合起来。学校的各项工作都要在党的十九大精神指引下，扎实向前推进，确保不断取得新的更大成效。校长曾青生在会上传达了党的十九大精神。曾校长对习近平总书记代表十八届中央委员会作的报告精神，十八届中纪委向党的十九大的工作报告，党章修改和十九届一中全会精神进行了全面传达。同时还传达了全省领导干部会议精神和省委教育工委传达学习党的十九大精神会议内容。</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我校第三十二届田径运动会隆重开幕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1日上午，我校第三十二届田径运动会在濂溪校区运动场隆重开幕。校党委书记魏寒柏，校长曾青生，副校长刘南平、彭晓兰、汪永根、殷锡武出席，全校中层干部、教师及运动员、2017级全体新生参加开幕式。副校长刘南平主持开幕式。</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8点30分，党委书记魏寒柏博士宣布九江职业技术学院第三十二届田径运动会开幕！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开幕式在激昂的运动员进行曲中拉开帷幕。国旗、校旗、会徽、鲜花彩旗方阵及各二级学院学生代表方阵精神抖擞、意气风发，迈着矫健的步伐依次走过主席台，接受检阅。</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曾青生校长发表了热情洋溢的致辞，他代表学校党委和行政对本次体育盛会的召开表示热烈的祝贺，向筹备组织本届运动会的工作人员表示衷心的感谢，向所有参加运动会的裁判员、运动员、志愿者表示亲切的问候。他指出，党的十九大作出了中国特色社会主义进入了新时代的重要判断，明确提出了“广泛开展全民健身活动，加快推进体育强国建设”的重要目标。我校举办本届运动会，正是学校全面贯彻党的教育方针，落实立德树人根本任务的一项重要举措；也是积极推行“全民健身计划”和“阳光体育运动”，加快推动校园文化建设的一项重要内容。同时，曾校长提出了四点希望：由衷希望运动员弘扬“更快、更高、更强”的奥运精神；由衷希望裁判员恪守“公开、公平、公正”的原则；由衷希望志愿者秉承“奉献、友爱、互助”的信念；由衷希望广大师生遵守“文明、友好、守礼”的准则。他希望全校师生员工在党的十九大精神指引下，共同把本届运动会办成充分展示师生体魄和风貌的体育盛会，共同把学校运动会打造成为富有九职特色的文化品牌，努力为学校创建国家优质高等院校书写文化体育建设的新篇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随后，裁判长宣读了大会纪律，运动员代表、裁判员代表依次宣誓。最后，各学院代表队进行广播体操比赛。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据悉，本届田径运动会共有940名男女运动员参赛，其中学生运动员740人，教工运动员200人，他们将在为期3天的运动会上奋勇争先，顽强拼搏，展示我校体育运动工作的丰硕成果和体育健儿的精神风貌。</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我校学子在“外研社杯”全国高职高专英语写作大赛（江西赛区）中喜获佳绩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10月</w:t>
      </w:r>
      <w:r>
        <w:rPr>
          <w:rFonts w:hint="default" w:ascii="宋体" w:hAnsi="宋体" w:cs="宋体"/>
          <w:color w:val="333333"/>
          <w:kern w:val="0"/>
          <w:szCs w:val="21"/>
          <w:shd w:val="clear" w:color="auto" w:fill="FFFFFF"/>
          <w:lang w:val="en-US" w:eastAsia="zh-CN"/>
        </w:rPr>
        <w:t>29</w:t>
      </w:r>
      <w:r>
        <w:rPr>
          <w:rFonts w:hint="eastAsia" w:ascii="宋体" w:hAnsi="宋体" w:cs="宋体"/>
          <w:color w:val="333333"/>
          <w:kern w:val="0"/>
          <w:szCs w:val="21"/>
          <w:shd w:val="clear" w:color="auto" w:fill="FFFFFF"/>
          <w:lang w:val="en-US" w:eastAsia="zh-CN"/>
        </w:rPr>
        <w:t>日，</w:t>
      </w:r>
      <w:r>
        <w:rPr>
          <w:rFonts w:hint="default" w:ascii="宋体" w:hAnsi="宋体" w:cs="宋体"/>
          <w:color w:val="333333"/>
          <w:kern w:val="0"/>
          <w:szCs w:val="21"/>
          <w:shd w:val="clear" w:color="auto" w:fill="FFFFFF"/>
          <w:lang w:val="en-US" w:eastAsia="zh-CN"/>
        </w:rPr>
        <w:t>“</w:t>
      </w:r>
      <w:r>
        <w:rPr>
          <w:rFonts w:hint="eastAsia" w:ascii="宋体" w:hAnsi="宋体" w:cs="宋体"/>
          <w:color w:val="333333"/>
          <w:kern w:val="0"/>
          <w:szCs w:val="21"/>
          <w:shd w:val="clear" w:color="auto" w:fill="FFFFFF"/>
          <w:lang w:val="en-US" w:eastAsia="zh-CN"/>
        </w:rPr>
        <w:t>外研社杯</w:t>
      </w:r>
      <w:r>
        <w:rPr>
          <w:rFonts w:hint="default" w:ascii="宋体" w:hAnsi="宋体" w:cs="宋体"/>
          <w:color w:val="333333"/>
          <w:kern w:val="0"/>
          <w:szCs w:val="21"/>
          <w:shd w:val="clear" w:color="auto" w:fill="FFFFFF"/>
          <w:lang w:val="en-US" w:eastAsia="zh-CN"/>
        </w:rPr>
        <w:t>”</w:t>
      </w:r>
      <w:r>
        <w:rPr>
          <w:rFonts w:hint="eastAsia" w:ascii="宋体" w:hAnsi="宋体" w:cs="宋体"/>
          <w:color w:val="333333"/>
          <w:kern w:val="0"/>
          <w:szCs w:val="21"/>
          <w:shd w:val="clear" w:color="auto" w:fill="FFFFFF"/>
          <w:lang w:val="en-US" w:eastAsia="zh-CN"/>
        </w:rPr>
        <w:t>全国高职高专写作大赛复赛（江西赛区）在南昌大学共青学院落下帷幕，本次比赛共有来自全省近30所院校的</w:t>
      </w:r>
      <w:r>
        <w:rPr>
          <w:rFonts w:hint="default" w:ascii="宋体" w:hAnsi="宋体" w:cs="宋体"/>
          <w:color w:val="333333"/>
          <w:kern w:val="0"/>
          <w:szCs w:val="21"/>
          <w:shd w:val="clear" w:color="auto" w:fill="FFFFFF"/>
          <w:lang w:val="en-US" w:eastAsia="zh-CN"/>
        </w:rPr>
        <w:t>60</w:t>
      </w:r>
      <w:r>
        <w:rPr>
          <w:rFonts w:hint="eastAsia" w:ascii="宋体" w:hAnsi="宋体" w:cs="宋体"/>
          <w:color w:val="333333"/>
          <w:kern w:val="0"/>
          <w:szCs w:val="21"/>
          <w:shd w:val="clear" w:color="auto" w:fill="FFFFFF"/>
          <w:lang w:val="en-US" w:eastAsia="zh-CN"/>
        </w:rPr>
        <w:t>余名优秀选手同台竞技，我校财会金融学院酒店欧迅</w:t>
      </w:r>
      <w:r>
        <w:rPr>
          <w:rFonts w:hint="default" w:ascii="宋体" w:hAnsi="宋体" w:cs="宋体"/>
          <w:color w:val="333333"/>
          <w:kern w:val="0"/>
          <w:szCs w:val="21"/>
          <w:shd w:val="clear" w:color="auto" w:fill="FFFFFF"/>
          <w:lang w:val="en-US" w:eastAsia="zh-CN"/>
        </w:rPr>
        <w:t>1701</w:t>
      </w:r>
      <w:r>
        <w:rPr>
          <w:rFonts w:hint="eastAsia" w:ascii="宋体" w:hAnsi="宋体" w:cs="宋体"/>
          <w:color w:val="333333"/>
          <w:kern w:val="0"/>
          <w:szCs w:val="21"/>
          <w:shd w:val="clear" w:color="auto" w:fill="FFFFFF"/>
          <w:lang w:val="en-US" w:eastAsia="zh-CN"/>
        </w:rPr>
        <w:t>班林峥同学、注会</w:t>
      </w:r>
      <w:r>
        <w:rPr>
          <w:rFonts w:hint="default" w:ascii="宋体" w:hAnsi="宋体" w:cs="宋体"/>
          <w:color w:val="333333"/>
          <w:kern w:val="0"/>
          <w:szCs w:val="21"/>
          <w:shd w:val="clear" w:color="auto" w:fill="FFFFFF"/>
          <w:lang w:val="en-US" w:eastAsia="zh-CN"/>
        </w:rPr>
        <w:t>1501</w:t>
      </w:r>
      <w:r>
        <w:rPr>
          <w:rFonts w:hint="eastAsia" w:ascii="宋体" w:hAnsi="宋体" w:cs="宋体"/>
          <w:color w:val="333333"/>
          <w:kern w:val="0"/>
          <w:szCs w:val="21"/>
          <w:shd w:val="clear" w:color="auto" w:fill="FFFFFF"/>
          <w:lang w:val="en-US" w:eastAsia="zh-CN"/>
        </w:rPr>
        <w:t>班谭超轩同学双双脱颖而出，分获一等奖第一名、二等奖第一名，团体综合成绩位居全省高职高专院校前列。</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外语教学部以外语竞赛为平台，以常规性活动为基点，以全校学生为主体，致力打造第二课堂优质团队，力图构建特色英语课外学习体系，建立浓厚的校园外语学习氛围。本学期伊始，部门领导对下半年竞赛工作给予高度重视，筹建多层次多类别赛事梯队，做实做细赛事指导方案，优化人才储备库选拔模式；针对此项赛事，选派郭雪丹、黄悦两名专业教师进行一对一指导训练，引进专业网络作文批改软件等现代化信息技术手段，对学生进行了精心辅导、强化训练及赛事跟踪，确保参赛选手以最佳状态参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据悉，“外研社杯</w:t>
      </w:r>
      <w:r>
        <w:rPr>
          <w:rFonts w:hint="default" w:ascii="宋体" w:hAnsi="宋体" w:cs="宋体"/>
          <w:color w:val="333333"/>
          <w:kern w:val="0"/>
          <w:szCs w:val="21"/>
          <w:shd w:val="clear" w:color="auto" w:fill="FFFFFF"/>
          <w:lang w:val="en-US" w:eastAsia="zh-CN"/>
        </w:rPr>
        <w:t>”</w:t>
      </w:r>
      <w:r>
        <w:rPr>
          <w:rFonts w:hint="eastAsia" w:ascii="宋体" w:hAnsi="宋体" w:cs="宋体"/>
          <w:color w:val="333333"/>
          <w:kern w:val="0"/>
          <w:szCs w:val="21"/>
          <w:shd w:val="clear" w:color="auto" w:fill="FFFFFF"/>
          <w:lang w:val="en-US" w:eastAsia="zh-CN"/>
        </w:rPr>
        <w:t>全国高职高专英语写作大赛是由教育部职业院校外语类专业教学指导委员会和外语教学与研究出版社共同举办、面向高职高专学生的全国性公益赛事。大赛旨在贯彻落实《国家中长期教育改革和发展规划纲要（</w:t>
      </w:r>
      <w:r>
        <w:rPr>
          <w:rFonts w:hint="default" w:ascii="宋体" w:hAnsi="宋体" w:cs="宋体"/>
          <w:color w:val="333333"/>
          <w:kern w:val="0"/>
          <w:szCs w:val="21"/>
          <w:shd w:val="clear" w:color="auto" w:fill="FFFFFF"/>
          <w:lang w:val="en-US" w:eastAsia="zh-CN"/>
        </w:rPr>
        <w:t>2010</w:t>
      </w:r>
      <w:r>
        <w:rPr>
          <w:rFonts w:hint="eastAsia" w:ascii="宋体" w:hAnsi="宋体" w:cs="宋体"/>
          <w:color w:val="333333"/>
          <w:kern w:val="0"/>
          <w:szCs w:val="21"/>
          <w:shd w:val="clear" w:color="auto" w:fill="FFFFFF"/>
          <w:lang w:val="en-US" w:eastAsia="zh-CN"/>
        </w:rPr>
        <w:t>－</w:t>
      </w:r>
      <w:r>
        <w:rPr>
          <w:rFonts w:hint="default" w:ascii="宋体" w:hAnsi="宋体" w:cs="宋体"/>
          <w:color w:val="333333"/>
          <w:kern w:val="0"/>
          <w:szCs w:val="21"/>
          <w:shd w:val="clear" w:color="auto" w:fill="FFFFFF"/>
          <w:lang w:val="en-US" w:eastAsia="zh-CN"/>
        </w:rPr>
        <w:t>2020 </w:t>
      </w:r>
      <w:r>
        <w:rPr>
          <w:rFonts w:hint="eastAsia" w:ascii="宋体" w:hAnsi="宋体" w:cs="宋体"/>
          <w:color w:val="333333"/>
          <w:kern w:val="0"/>
          <w:szCs w:val="21"/>
          <w:shd w:val="clear" w:color="auto" w:fill="FFFFFF"/>
          <w:lang w:val="en-US" w:eastAsia="zh-CN"/>
        </w:rPr>
        <w:t>年）》，推动英语写作教学，提高学生英语写作水平，引领高校外语写作教学的改革与发展。</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我校第三十二届田径运动会胜利闭幕</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11月3日上午，我校第三十二届田径运动会胜利闭幕。副校长刘南平、彭晓兰、殷锡武出席，各部门主要负责人，运动员、教师、学生代表参加，团委负责人许静主持闭幕式。</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彭晓兰副校长致闭幕词。她对在比赛中取得优异成绩的运动员、运动队及精神文明单位表示热烈的祝贺，向为大会精心准备、积极工作、热情服务、付出辛勤劳动的裁判员和工作人员表示衷心感谢。她高度赞扬了我校运动健儿“团结、友谊、拼搏、进取”的校运精神，鼓励大家再接再厉，继续发扬顽强拼搏精神和竞争精神，在今后的工作和学习中取得更大成绩，共同建设文明美丽校园。</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在本届校运会上，建筑工程学院学生代表队荣获“金牌总数第一”，机械工程学院学生代表队荣获“团体总分第一”，机械工程学院、船舶工程学院荣获“精神文明队”称号，后勤服务集团教工分会荣获“教工团体总分第一”。</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我校全面部署文明美丽校园建设工作</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深入学习贯彻党的十九大精神和省第十四次党代会精神，认真落实《教育部中央文明办关于深入开展文明校园创建活动的实施意见》，全面优化办学育人环境。11月3日下午14时15分，我校在十里校区大礼堂召开动员大会，全面部署“文明美丽校园建设”工作。党委书记魏寒柏，校长曾青生，副校长刘南平、彭晓兰、汪永根、殷锡武出席，全体教职员工及学生代表参加。大会由副校长刘南平主持。</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校长曾青生作动员讲话。他在讲话中指出，首先要深刻认识新时代文明美丽校园建设的重大意义。文明美丽校园建设是深入贯彻落实党中央重大决策、省委重要部署的有力行动；文明美丽校园建设是大力增强学校办学治校综合实力、推动各项事业持续健康发展的重要基础；文明美丽校园建设是着力提升学校“三风”建设水平、推动创建国家优质院校的必然要求。其次要准确把握新时代文明美丽校园建设的总体部署。一是准确把握总体目标，紧紧围绕“提升三项水平、打造三个环境”总要求，树立标杆、全面推进；二是准确把握整体步骤，以“五个层级”层层抓好落实，以“两个阶段”步步抓紧推进；三是准确把握工作方法，坚持“三个抓好”即抓好顶层设计、抓好落实落地、抓好示范带动。第三要切实加强新时代文明美丽校园建设的有效保障。一是统一思想、形成合力；二是加强领导、统筹协调；三是严格督查、注重考核；四是强化宣传、营造氛围。</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曾校长最后强调，文明美丽校园建设是新时代赋予我们的一项重要的战略任务，只有起点，没有终点。我们要在党的十九大精神指引下，全面贯彻落实省委、省政府的决策部署，迅速把思想和行动统一到学校党委、行政的工作要求上来，切实把智慧和力量汇聚到学校加快推进文明美丽校园建设上来，以更高的热情投入建设工作，以更高的标准抓好建设工作，加快创建全国文明美丽学校，为奋力创建国家优质院校，为积极融入富裕美丽幸福江西建设，做出我们九职人应有的更大的贡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副校长殷锡武宣读了学校《关于开展文明美丽校园建设的通知》和《关于成立学校文明美丽校园建设领导小组的通知》。</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我校举行第二十二个党风廉政建设月活动动员大会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3日下午15时30分，我校在十里校区4号学术厅召开第二十二个党风廉政建设月活动动员大会。党委书记魏寒柏出席并作动员讲话，会议由党委副书记、校长曾青生主持，副校长刘南平、彭晓兰、汪永根、殷锡武出席。全体教工党员、副科级以上干部、教研室主任、后勤集团班组长及学生党员代表约400人参加大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在动员讲话中指出，开展党风廉政建设月活动是学校党委贯彻落实党的十九大精神的重要举措，是加强学校党风廉政建设和反腐败工作的必然要求，是全面推进建设全国优质高职院校的内在需要。全体共产党员特别是党员领导干部要充分认识开展党风廉政建设月活动的重要意义，切实履行全面从严治党政治责任。</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魏书记强调，广大共产党员特别是党员领导干部要正确处理好守纪律讲规矩与敢担当有作为的关系，坚持把守纪律、讲规矩和敢担当、有作为有机统一起来,在守纪律讲规矩的前提下敢担当、想干事,在敢担当的要求下守规矩、会干事,在守规矩、敢担当的基础上有作为、干成事。要对照“两学一做”学习教育常态化制度化要求，基础在学，关键在做，牢固树立纪律规矩意识，切实增强敢担当有作为的思想自觉和行动自觉，以求真务实的精神状态投身到学校的事业发展中去，为实现建设全国优质高职院校的奋斗目标，贡献自己的聪明智慧和辛勤汗水。</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对开展好本次党风廉政建设月活动，魏书记提出了三点要求：一是要思想上高度重视；二是要在抓落实、求实效上下功夫；三是在组织协调上要统筹兼顾，努力做到日常工作与教育活动“两不误、两促进”。</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党委副书记、校长曾青生在主持会议时强调，全体共产党员特别是党员领导干部要深刻领会、认真贯彻落实魏书记的讲话精神，以饱满的政治热情和良好的精神好状态带头参加党风廉政建设月各项活动，并通过此次教育活动，牢固树立全面从严治党人人有责的观念，牢固树立加强党风廉政建设人人有责观念，牢固树立守纪律讲规矩人人有责的观念，建设全国优质高职院校人人有责的观念，切实做到守底线、不逾矩、敢作为、有担当，为学校事业的发展做出自己应有的贡献，努力做忠诚干净担当的合格共产党员。</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党委委员、副校长刘南平对第二十二个党风廉政建设月活动进行了部署。他强调，开展本次党风廉政建设月活动目的旨在深入学习宣传贯彻落实党的十九大精神，进一步落实全面从严治党政治责任，深化我校党风廉政建设和反腐败工作，营造风清气正的廉洁校园文化氛围，为建设全国优质高职院校提供精神动力和纪律保证。本次活动为期一个月，活动内容共十余项。</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动员大会结束后，纪委副书记、纪监办主任吴节军做了题为“十八大以来党内法规制度建设学习交流”主题发言。</w:t>
      </w:r>
    </w:p>
    <w:p>
      <w:pPr>
        <w:widowControl/>
        <w:spacing w:line="360" w:lineRule="auto"/>
        <w:ind w:firstLine="540" w:firstLineChars="200"/>
        <w:jc w:val="left"/>
        <w:rPr>
          <w:rFonts w:hint="eastAsia" w:ascii="宋体" w:hAnsi="宋体" w:eastAsia="宋体" w:cs="宋体"/>
          <w:b w:val="0"/>
          <w:i w:val="0"/>
          <w:caps w:val="0"/>
          <w:color w:val="333333"/>
          <w:spacing w:val="15"/>
          <w:sz w:val="24"/>
          <w:szCs w:val="24"/>
          <w:shd w:val="clear" w:fill="FFFFFF"/>
          <w:lang w:val="en-US" w:eastAsia="zh-CN"/>
        </w:rPr>
      </w:pPr>
    </w:p>
    <w:p>
      <w:pPr>
        <w:widowControl/>
        <w:spacing w:line="360" w:lineRule="auto"/>
        <w:jc w:val="left"/>
        <w:rPr>
          <w:rStyle w:val="9"/>
          <w:rFonts w:hint="eastAsia" w:ascii="宋体" w:hAnsi="宋体" w:eastAsia="宋体" w:cs="宋体"/>
          <w:i w:val="0"/>
          <w:caps w:val="0"/>
          <w:color w:val="FF0000"/>
          <w:spacing w:val="15"/>
          <w:sz w:val="36"/>
          <w:szCs w:val="36"/>
          <w:shd w:val="clear" w:fill="FFFFFF"/>
          <w:lang w:val="en-US" w:eastAsia="zh-CN"/>
        </w:rPr>
      </w:pPr>
    </w:p>
    <w:p>
      <w:pPr>
        <w:widowControl/>
        <w:spacing w:line="360" w:lineRule="auto"/>
        <w:ind w:firstLine="540" w:firstLineChars="200"/>
        <w:jc w:val="both"/>
        <w:rPr>
          <w:rFonts w:hint="eastAsia" w:ascii="宋体" w:hAnsi="宋体" w:eastAsia="宋体" w:cs="宋体"/>
          <w:b w:val="0"/>
          <w:i w:val="0"/>
          <w:caps w:val="0"/>
          <w:color w:val="333333"/>
          <w:spacing w:val="15"/>
          <w:sz w:val="24"/>
          <w:szCs w:val="24"/>
          <w:shd w:val="clear" w:fill="FFFFFF"/>
        </w:rPr>
      </w:pP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6"/>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 </w:t>
      </w: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"http://xz.jvtc.jx.cn/JVTC_XG/WebSite/Web/ShowInfo-LJw34Jmu~aahaacbc~MH~cha.html"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机械工程学院举办微团课大赛</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为深入贯彻落实《江西省高校共青团改革实施方案》，创新团课教学形式，丰富团课教学内容。11月5日至6日，机械工程学院在十里校区2号教学楼300教室举办微团课大赛，该院团学干部积极参与。</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本次微团课比赛以共青团的性质、共青团发展史、团章和团内纪律、习近平总书记关于青少年和共青团工作重要论述、《七年知青岁月》等内容为主题。比赛中，各位参赛选手精心策划，积极准备，在团课讲授中结合了PPT演示、案例讲解、视频学习等多种形式，充分展现了团学干部的青春风采，极大地提高了团课活动的教育性、趣味性和创新性。经过评委们的认真评审，最终，张轶伦同学荣获一等奖，熊小银同学获得二等奖，王亮、韩吉荣两位同学获得三等奖。 </w:t>
      </w:r>
    </w:p>
    <w:p>
      <w:pPr>
        <w:widowControl/>
        <w:spacing w:line="360" w:lineRule="auto"/>
        <w:ind w:firstLine="482" w:firstLineChars="200"/>
        <w:jc w:val="center"/>
      </w:pPr>
      <w:r>
        <w:rPr>
          <w:rStyle w:val="9"/>
          <w:rFonts w:hint="eastAsia" w:ascii="宋体" w:hAnsi="宋体" w:cs="宋体"/>
          <w:color w:val="000000" w:themeColor="text1"/>
          <w:kern w:val="0"/>
          <w:sz w:val="24"/>
          <w:szCs w:val="22"/>
          <w14:textFill>
            <w14:solidFill>
              <w14:schemeClr w14:val="tx1"/>
            </w14:solidFill>
          </w14:textFill>
        </w:rPr>
        <w:t>机械工程学院组织开展义务献血活动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为引导学生积极践行社会主义核心价值观，培养学生的奉献意识和社会责任感。11月5日，机械工程学院青年志愿者协会组织开展义务献血活动。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 活动当天，志愿者们身着统一服装在十里校区校门口集合，列队前往十里大楼献血站。在献血站医务人员的指导下，志愿者们秩序井然地填写表格、测量血压、化验血型、抽血献血。在献血过程中，医护人员耐心地向志愿者们介绍献血的相关注意事项，帮助志愿者们放松心态，大家也积极配合医务人员的工作，顺利完成了义务献血活动。在献血完成后，志愿者们还积极参与了义务献血宣传活动。 据悉，参与本次义务献血的志愿者共计12人，累计献血量达4000毫升。本次活动有益培养了同学们无私奉献的精神品质，增强了同学们践行社会主义核心价值观的自觉性和主动性。 </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p>
    <w:p>
      <w:pPr>
        <w:pStyle w:val="2"/>
        <w:numPr>
          <w:ilvl w:val="0"/>
          <w:numId w:val="6"/>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电气工程学院开展爱心捐赠活动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11月6日，电气工程学院青年志愿者前往九江市儿童福利院开展爱心捐赠活动，给孩子们送去善款672元和水果、书籍等物品。</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在10月份期间，电气工程学院联合船舶工程学院在十里校区开展了爱心捐赠物品活动，对广大同学捐赠的物品进行登记归类，共收集到书本、文具、玩具等捐赠物品180件，随后志愿者们举办了爱心义卖活动，共筹得善款为672元。11月6日，电气工程学院素质拓展管理委员会学生干部和参与“爱心义卖”活动的爱心捐赠代表团一同前往九江市儿童福利院，探望福利院的孩子们，将爱心捐款和水果、书籍等物品捐献给了可爱的孩子们。</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此次活动增强了电气学院和船舶学院学子的社会责任感，弘扬了无私奉献、乐于助人的中华传统美德，展现了我校学子的良好精神风貌。 </w:t>
      </w:r>
    </w:p>
    <w:p>
      <w:pPr>
        <w:widowControl/>
        <w:spacing w:line="360" w:lineRule="auto"/>
        <w:ind w:firstLine="482" w:firstLineChars="200"/>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电气工程学院团总支召开党的十九大精神专题学习会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11月7日晚，电气工程学院团总支在十里校区3号教学楼500教室召开党的十九大精神专题学习会，团总支书记、全体学生干部参加学习。</w:t>
      </w:r>
    </w:p>
    <w:p>
      <w:pPr>
        <w:widowControl/>
        <w:spacing w:line="360" w:lineRule="auto"/>
        <w:ind w:firstLine="420" w:firstLineChars="200"/>
        <w:jc w:val="left"/>
        <w:rPr>
          <w:rStyle w:val="9"/>
          <w:rFonts w:hint="eastAsia" w:ascii="宋体" w:hAnsi="宋体" w:cs="宋体"/>
          <w:color w:val="000000" w:themeColor="text1"/>
          <w:kern w:val="0"/>
          <w:sz w:val="24"/>
          <w:szCs w:val="22"/>
          <w14:textFill>
            <w14:solidFill>
              <w14:schemeClr w14:val="tx1"/>
            </w14:solidFill>
          </w14:textFill>
        </w:rPr>
      </w:pPr>
      <w:r>
        <w:rPr>
          <w:rFonts w:hint="eastAsia" w:ascii="宋体" w:hAnsi="宋体" w:cs="宋体"/>
          <w:color w:val="333333"/>
          <w:kern w:val="0"/>
          <w:szCs w:val="21"/>
          <w:shd w:val="clear" w:color="auto" w:fill="FFFFFF"/>
          <w:lang w:val="en-US" w:eastAsia="zh-CN"/>
        </w:rPr>
        <w:t xml:space="preserve">会议详细解读了党的十九大报告的主题和提出的四个新概念。与会人员认真学习领会了“不忘初心，牢记使命，高举中国特色社会主义伟大旗帜，决胜全面建成小康社会，夺取新时代中国特色社会主义伟大胜利，为实现中华民族伟大复兴的中国梦不懈奋斗”的主题和“中国特色社会主义进入了新时代、我国社会主要矛盾已经转化、新时代中国特色社会主义思想、社会主义现代化强国”四个新概念。大家还观看学习了党的十九大相关视频。会后，大家纷纷表示，要认真学习宣传贯彻党的十九大精神，从自身做起，努力成为党的十九大精神的践行者。 </w:t>
      </w:r>
    </w:p>
    <w:p>
      <w:pPr>
        <w:numPr>
          <w:ilvl w:val="0"/>
          <w:numId w:val="6"/>
        </w:numPr>
        <w:rPr>
          <w:rStyle w:val="9"/>
          <w:rFonts w:hint="eastAsia" w:ascii="宋体" w:hAnsi="宋体" w:cs="宋体"/>
          <w:b/>
          <w:color w:val="000000" w:themeColor="text1"/>
          <w:kern w:val="0"/>
          <w:sz w:val="24"/>
          <w:shd w:val="clear" w:color="auto" w:fill="FFFFFF"/>
          <w:lang w:eastAsia="zh-CN"/>
          <w14:textFill>
            <w14:solidFill>
              <w14:schemeClr w14:val="tx1"/>
            </w14:solidFill>
          </w14:textFill>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汽车工程学院</w:t>
      </w: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汽车工程学院组织学习宣传党的十九大精神</w:t>
      </w:r>
    </w:p>
    <w:tbl>
      <w:tblPr>
        <w:tblStyle w:val="16"/>
        <w:tblW w:w="7744" w:type="dxa"/>
        <w:jc w:val="center"/>
        <w:tblCellSpacing w:w="0" w:type="dxa"/>
        <w:tblInd w:w="270" w:type="dxa"/>
        <w:shd w:val="clear" w:color="auto" w:fill="auto"/>
        <w:tblLayout w:type="fixed"/>
        <w:tblCellMar>
          <w:top w:w="0" w:type="dxa"/>
          <w:left w:w="0" w:type="dxa"/>
          <w:bottom w:w="0" w:type="dxa"/>
          <w:right w:w="0" w:type="dxa"/>
        </w:tblCellMar>
      </w:tblPr>
      <w:tblGrid>
        <w:gridCol w:w="7744"/>
      </w:tblGrid>
      <w:tr>
        <w:tblPrEx>
          <w:shd w:val="clear" w:color="auto" w:fill="auto"/>
          <w:tblLayout w:type="fixed"/>
          <w:tblCellMar>
            <w:top w:w="0" w:type="dxa"/>
            <w:left w:w="0" w:type="dxa"/>
            <w:bottom w:w="0" w:type="dxa"/>
            <w:right w:w="0" w:type="dxa"/>
          </w:tblCellMar>
        </w:tblPrEx>
        <w:trPr>
          <w:tblCellSpacing w:w="0" w:type="dxa"/>
          <w:jc w:val="center"/>
        </w:trPr>
        <w:tc>
          <w:tcPr>
            <w:tcW w:w="7744" w:type="dxa"/>
            <w:shd w:val="clear" w:color="auto" w:fill="auto"/>
            <w:vAlign w:val="top"/>
          </w:tcPr>
          <w:p>
            <w:pPr>
              <w:widowControl/>
              <w:spacing w:line="360" w:lineRule="auto"/>
              <w:ind w:firstLine="360" w:firstLineChars="200"/>
              <w:jc w:val="left"/>
              <w:rPr>
                <w:rFonts w:hint="eastAsia" w:ascii="宋体" w:hAnsi="宋体" w:cs="宋体"/>
                <w:color w:val="333333"/>
                <w:kern w:val="0"/>
                <w:szCs w:val="21"/>
                <w:shd w:val="clear" w:color="auto" w:fill="FFFFFF"/>
                <w:lang w:val="en-US" w:eastAsia="zh-CN"/>
              </w:rPr>
            </w:pPr>
            <w:r>
              <w:rPr>
                <w:rFonts w:hint="eastAsia" w:ascii="微软雅黑" w:hAnsi="微软雅黑" w:eastAsia="微软雅黑" w:cs="微软雅黑"/>
                <w:color w:val="282626"/>
                <w:kern w:val="0"/>
                <w:sz w:val="18"/>
                <w:szCs w:val="18"/>
                <w:lang w:val="en-US" w:eastAsia="zh-CN" w:bidi="ar"/>
              </w:rPr>
              <w:t>1</w:t>
            </w:r>
            <w:r>
              <w:rPr>
                <w:rFonts w:hint="eastAsia" w:ascii="宋体" w:hAnsi="宋体" w:cs="宋体"/>
                <w:color w:val="333333"/>
                <w:kern w:val="0"/>
                <w:szCs w:val="21"/>
                <w:shd w:val="clear" w:color="auto" w:fill="FFFFFF"/>
                <w:lang w:val="en-US" w:eastAsia="zh-CN"/>
              </w:rPr>
              <w:t>1月1日至11月5日，汽车工程学院在十里校区4号教学楼组织各班开展学习宣传贯彻党的十九大精神专题活动。</w:t>
            </w:r>
          </w:p>
          <w:p>
            <w:pPr>
              <w:widowControl/>
              <w:spacing w:line="360" w:lineRule="auto"/>
              <w:ind w:firstLine="420" w:firstLineChars="200"/>
              <w:jc w:val="left"/>
              <w:rPr>
                <w:rFonts w:hint="eastAsia" w:ascii="微软雅黑" w:hAnsi="微软雅黑" w:eastAsia="微软雅黑" w:cs="微软雅黑"/>
                <w:color w:val="282626"/>
                <w:sz w:val="18"/>
                <w:szCs w:val="18"/>
              </w:rPr>
            </w:pPr>
            <w:r>
              <w:rPr>
                <w:rFonts w:hint="eastAsia" w:ascii="宋体" w:hAnsi="宋体" w:cs="宋体"/>
                <w:color w:val="333333"/>
                <w:kern w:val="0"/>
                <w:szCs w:val="21"/>
                <w:shd w:val="clear" w:color="auto" w:fill="FFFFFF"/>
                <w:lang w:val="en-US" w:eastAsia="zh-CN"/>
              </w:rPr>
              <w:t>活动中，各班班主任结合PPT展示，围绕活动主题，对党的十九大报告精神、十八届中央纪委工作报告主要内容、《党章（修正案）》的修改原则和修改内容以及十九届一中全会精神进行了全面的传达，引导同学们深刻理解党的十九大报告中的新思想、新论断、新提法、新举措，深入学习领会党的十九大精神。同学们纷纷表示，一定要认真学习宣传贯彻党的十九大精神，以党的十九大精神为指引，努力学习，报效祖国。</w:t>
            </w:r>
          </w:p>
        </w:tc>
      </w:tr>
    </w:tbl>
    <w:p>
      <w:pPr>
        <w:pStyle w:val="2"/>
        <w:numPr>
          <w:ilvl w:val="0"/>
          <w:numId w:val="6"/>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建筑工程学院团总支召开党的十九大精神专题学习会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11月7日13时，建筑工程学院团总支在濂溪校区实训楼205室召开党的十九大精神专题学习会，该院团总支指导老师和全体学生干部参加学习。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议重点学习了党的十九大报告提出的重大思想、基本方略等内容，就“四个新概念”和“六个计划”进行了详细的解读，引导学生干部树立“四个意识”，坚定“四个自信”，进一步提高思想和行动的统一，要求大家全面贯彻落实党的基本理论、基本路线、基本方略，切实将党的十九大提出的新理念、新思想、新方略转化为推动各项工作和自身发展的具体举措和生动实践。</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此次专题学习会加深了建工学院学生干部对党的十九大精神的学习领会，引导大家以党的十九大精神指导学习、工作和实践。 </w:t>
      </w:r>
    </w:p>
    <w:p>
      <w:pPr>
        <w:pStyle w:val="2"/>
        <w:numPr>
          <w:ilvl w:val="0"/>
          <w:numId w:val="6"/>
        </w:numPr>
        <w:rPr>
          <w:rFonts w:hint="eastAsia"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经济管理学院团总支组织学习宣传贯彻党的十九大精神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11月6日19时，经济管理学院团总支在濂溪校区教学楼128教室召开专题会议，组织全体团总支学生干部和各班班长、团支书学习宣传贯彻党的十九大精神。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议从全面从严治党、用新时代中国特色社会主义思想武装全党、持之以恒正风肃纪、以人民为中心、增强执政本领、不忘中国共产党人的初心和使命等六个方面详细阐述了党的十九大精神，号召全体团学干部以党的十九大精神为指引，从思想、学习和生活等方面严格要求自己。会议同时要求各班团支部积极组织团员青年学习领会党的十九大精神。</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本次专题会议促进了经管学院广大同学对党的十九大精神得学习领会，有效提升了同学们思想政治素质，引导同学们将党的十九大精神与学习、生活和实践紧密结合。 </w:t>
      </w:r>
    </w:p>
    <w:p>
      <w:pPr>
        <w:pStyle w:val="2"/>
        <w:numPr>
          <w:ilvl w:val="0"/>
          <w:numId w:val="6"/>
        </w:numPr>
        <w:rPr>
          <w:rStyle w:val="9"/>
          <w:rFonts w:hint="eastAsia" w:ascii="宋体" w:hAnsi="宋体" w:cs="宋体"/>
          <w:b/>
          <w:color w:val="000000" w:themeColor="text1"/>
          <w:kern w:val="0"/>
          <w:sz w:val="24"/>
          <w:szCs w:val="22"/>
          <w:shd w:val="clear" w:color="auto" w:fill="FFFFFF"/>
          <w:lang w:eastAsia="zh-CN"/>
          <w14:textFill>
            <w14:solidFill>
              <w14:schemeClr w14:val="tx1"/>
            </w14:solidFill>
          </w14:textFill>
        </w:rPr>
      </w:pPr>
      <w:r>
        <w:rPr>
          <w:rStyle w:val="9"/>
          <w:rFonts w:hint="eastAsia" w:ascii="宋体" w:hAnsi="宋体" w:cs="宋体"/>
          <w:b/>
          <w:color w:val="000000" w:themeColor="text1"/>
          <w:kern w:val="0"/>
          <w:sz w:val="24"/>
          <w:szCs w:val="22"/>
          <w:shd w:val="clear" w:color="auto" w:fill="FFFFFF"/>
          <w:lang w:eastAsia="zh-CN"/>
          <w14:textFill>
            <w14:solidFill>
              <w14:schemeClr w14:val="tx1"/>
            </w14:solidFill>
          </w14:textFill>
        </w:rPr>
        <w:t>财会金融学院</w:t>
      </w:r>
    </w:p>
    <w:p>
      <w:pPr>
        <w:widowControl/>
        <w:spacing w:line="360" w:lineRule="auto"/>
        <w:ind w:firstLine="482" w:firstLineChars="200"/>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财会金融学院团总支召开党的十九大精神专题学习会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11月7日19时，财会金融学院在濂溪校区实训楼110教室召开党的十九大精神砖头专题会，该院2017级各班班长、团支书和团总支学生干部参加学习。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学习会对党的十九大精神进行了详细的解读，组织全体与会人员认真学习党的十九大报告中“4个新概念、6个计划、40个新提法新举措”的全面论述。学习活动围绕深入学习宣传贯彻党的十九大精神展开了积极的讨论交流，进一步加深了团学干部对党的十九大精神内涵的理解和领会。与会人员纷纷表示，要认真学习、深刻领会党的十九大精神，进一步明确新时代的使命与担当，更加坚定新时代中国特色社会主义道路，为实现中华民族伟大复兴的中国梦汇聚力量。 </w:t>
      </w:r>
    </w:p>
    <w:p>
      <w:pPr>
        <w:jc w:val="left"/>
        <w:rPr>
          <w:rFonts w:hint="eastAsia" w:ascii="宋体" w:hAnsi="宋体" w:cs="宋体"/>
          <w:color w:val="333333"/>
          <w:kern w:val="0"/>
          <w:szCs w:val="21"/>
          <w:shd w:val="clear" w:color="auto" w:fill="FFFFFF"/>
        </w:rPr>
      </w:pPr>
    </w:p>
    <w:p/>
    <w:p/>
    <w:p/>
    <w:p/>
    <w:p/>
    <w:p/>
    <w:p/>
    <w:p/>
    <w:p/>
    <w:p/>
    <w:p/>
    <w:p/>
    <w:p/>
    <w:p/>
    <w:p/>
    <w:p/>
    <w:p/>
    <w:p/>
    <w:p/>
    <w:p/>
    <w:p/>
    <w:p/>
    <w:p/>
    <w:p/>
    <w:p/>
    <w:p/>
    <w:p/>
    <w:p/>
    <w:p/>
    <w:p/>
    <w:p/>
    <w:p>
      <w:pPr>
        <w:jc w:val="left"/>
        <w:rPr>
          <w:rStyle w:val="9"/>
          <w:rFonts w:ascii="宋体" w:hAnsi="宋体"/>
          <w:color w:val="000000" w:themeColor="text1"/>
          <w:kern w:val="0"/>
          <w:sz w:val="24"/>
          <w:shd w:val="clear" w:color="auto" w:fill="FFFFFF"/>
          <w14:textFill>
            <w14:solidFill>
              <w14:schemeClr w14:val="tx1"/>
            </w14:solidFill>
          </w14:textFill>
        </w:rPr>
      </w:pPr>
      <w:r>
        <w:rPr>
          <w:rStyle w:val="9"/>
          <w:rFonts w:hint="eastAsia" w:ascii="宋体" w:hAnsi="宋体"/>
          <w:color w:val="000000" w:themeColor="text1"/>
          <w:kern w:val="0"/>
          <w:sz w:val="24"/>
          <w:shd w:val="clear" w:color="auto" w:fill="FFFFFF"/>
          <w14:textFill>
            <w14:solidFill>
              <w14:schemeClr w14:val="tx1"/>
            </w14:solidFill>
          </w14:textFill>
        </w:rPr>
        <w:t>三、教育管理</w:t>
      </w:r>
    </w:p>
    <w:p>
      <w:pPr>
        <w:pStyle w:val="2"/>
        <w:numPr>
          <w:ilvl w:val="0"/>
          <w:numId w:val="7"/>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7—10周</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p>
    <w:p>
      <w:pPr>
        <w:widowControl/>
        <w:numPr>
          <w:ilvl w:val="0"/>
          <w:numId w:val="8"/>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奖学金</w:t>
      </w:r>
      <w:r>
        <w:rPr>
          <w:rFonts w:hint="eastAsia" w:ascii="宋体" w:hAnsi="宋体" w:cs="宋体"/>
          <w:color w:val="auto"/>
          <w:kern w:val="0"/>
          <w:szCs w:val="21"/>
          <w:shd w:val="clear" w:color="auto" w:fill="FFFFFF"/>
          <w:lang w:eastAsia="zh-CN"/>
        </w:rPr>
        <w:t>汇总审核</w:t>
      </w:r>
      <w:r>
        <w:rPr>
          <w:rFonts w:hint="eastAsia" w:ascii="宋体" w:hAnsi="宋体" w:cs="宋体"/>
          <w:color w:val="auto"/>
          <w:kern w:val="0"/>
          <w:szCs w:val="21"/>
          <w:shd w:val="clear" w:color="auto" w:fill="FFFFFF"/>
        </w:rPr>
        <w:t>发放工作</w:t>
      </w:r>
      <w:r>
        <w:rPr>
          <w:rFonts w:hint="eastAsia" w:ascii="宋体" w:hAnsi="宋体" w:cs="宋体"/>
          <w:color w:val="auto"/>
          <w:kern w:val="0"/>
          <w:szCs w:val="21"/>
          <w:shd w:val="clear" w:color="auto" w:fill="FFFFFF"/>
          <w:lang w:eastAsia="zh-CN"/>
        </w:rPr>
        <w:t>，以及三好、优干等评优工作</w:t>
      </w:r>
      <w:r>
        <w:rPr>
          <w:rFonts w:hint="eastAsia" w:ascii="宋体" w:hAnsi="宋体" w:cs="宋体"/>
          <w:color w:val="auto"/>
          <w:kern w:val="0"/>
          <w:szCs w:val="21"/>
          <w:shd w:val="clear" w:color="auto" w:fill="FFFFFF"/>
        </w:rPr>
        <w:t>；</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p>
    <w:p>
      <w:pPr>
        <w:widowControl/>
        <w:numPr>
          <w:ilvl w:val="0"/>
          <w:numId w:val="1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班级规划大赛初赛</w:t>
      </w:r>
      <w:r>
        <w:rPr>
          <w:rFonts w:hint="eastAsia" w:ascii="宋体" w:hAnsi="宋体" w:cs="宋体"/>
          <w:color w:val="auto"/>
          <w:kern w:val="0"/>
          <w:szCs w:val="21"/>
          <w:shd w:val="clear" w:color="auto" w:fill="FFFFFF"/>
        </w:rPr>
        <w:t>；</w:t>
      </w:r>
    </w:p>
    <w:p>
      <w:pPr>
        <w:widowControl/>
        <w:numPr>
          <w:ilvl w:val="0"/>
          <w:numId w:val="11"/>
        </w:numPr>
        <w:shd w:val="clear" w:color="auto" w:fill="FFFFFF"/>
        <w:spacing w:line="360" w:lineRule="exact"/>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201</w:t>
      </w:r>
      <w:r>
        <w:rPr>
          <w:rFonts w:hint="eastAsia" w:ascii="宋体" w:hAnsi="宋体" w:cs="宋体"/>
          <w:color w:val="auto"/>
          <w:kern w:val="0"/>
          <w:szCs w:val="21"/>
          <w:highlight w:val="none"/>
          <w:shd w:val="clear" w:color="auto" w:fill="FFFFFF"/>
          <w:lang w:val="en-US" w:eastAsia="zh-CN"/>
        </w:rPr>
        <w:t>6</w:t>
      </w:r>
      <w:r>
        <w:rPr>
          <w:rFonts w:hint="eastAsia" w:ascii="宋体" w:hAnsi="宋体" w:cs="宋体"/>
          <w:color w:val="auto"/>
          <w:kern w:val="0"/>
          <w:szCs w:val="21"/>
          <w:highlight w:val="none"/>
          <w:shd w:val="clear" w:color="auto" w:fill="FFFFFF"/>
        </w:rPr>
        <w:t>~201</w:t>
      </w:r>
      <w:r>
        <w:rPr>
          <w:rFonts w:hint="eastAsia" w:ascii="宋体" w:hAnsi="宋体" w:cs="宋体"/>
          <w:color w:val="auto"/>
          <w:kern w:val="0"/>
          <w:szCs w:val="21"/>
          <w:highlight w:val="none"/>
          <w:shd w:val="clear" w:color="auto" w:fill="FFFFFF"/>
          <w:lang w:val="en-US" w:eastAsia="zh-CN"/>
        </w:rPr>
        <w:t>7</w:t>
      </w:r>
      <w:r>
        <w:rPr>
          <w:rFonts w:hint="eastAsia" w:ascii="宋体" w:hAnsi="宋体" w:cs="宋体"/>
          <w:color w:val="auto"/>
          <w:kern w:val="0"/>
          <w:szCs w:val="21"/>
          <w:highlight w:val="none"/>
          <w:shd w:val="clear" w:color="auto" w:fill="FFFFFF"/>
        </w:rPr>
        <w:t>学年班级建设</w:t>
      </w:r>
      <w:r>
        <w:rPr>
          <w:rFonts w:hint="eastAsia" w:ascii="宋体" w:hAnsi="宋体" w:cs="宋体"/>
          <w:color w:val="auto"/>
          <w:kern w:val="0"/>
          <w:szCs w:val="21"/>
          <w:highlight w:val="none"/>
          <w:shd w:val="clear" w:color="auto" w:fill="FFFFFF"/>
          <w:lang w:eastAsia="zh-CN"/>
        </w:rPr>
        <w:t>评比工作</w:t>
      </w:r>
      <w:r>
        <w:rPr>
          <w:rFonts w:hint="eastAsia" w:ascii="宋体" w:hAnsi="宋体" w:cs="宋体"/>
          <w:color w:val="auto"/>
          <w:kern w:val="0"/>
          <w:szCs w:val="21"/>
          <w:highlight w:val="none"/>
          <w:shd w:val="clear" w:color="auto" w:fill="FFFFFF"/>
        </w:rPr>
        <w:t>；</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党风廉政建设月系列活动；</w:t>
      </w:r>
    </w:p>
    <w:p>
      <w:pPr>
        <w:widowControl/>
        <w:numPr>
          <w:ilvl w:val="0"/>
          <w:numId w:val="11"/>
        </w:numPr>
        <w:shd w:val="clear" w:color="auto" w:fill="FFFFFF"/>
        <w:spacing w:line="360" w:lineRule="exact"/>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shd w:val="clear" w:color="auto" w:fill="FFFFFF"/>
        </w:rPr>
        <w:t>2016年班级风采展示周启动仪式暨标兵班集体经验分享会；</w:t>
      </w:r>
    </w:p>
    <w:p>
      <w:pPr>
        <w:widowControl/>
        <w:numPr>
          <w:ilvl w:val="0"/>
          <w:numId w:val="12"/>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素拓之星表彰工作 ；</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举办两期大擂台活动；</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做好运动会各项目学分认证工作；</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做好党风廉政建设月各项目学分认证工作；</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召集各学院素拓负责老师开工作交流会；</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校学生会换届工作；</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学生代表大会；</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“学宪法”演讲比赛；</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团员注册；</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“冠中冠”足球赛；</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青年志愿者协会年度表彰；</w:t>
      </w:r>
    </w:p>
    <w:p>
      <w:pPr>
        <w:widowControl/>
        <w:numPr>
          <w:ilvl w:val="0"/>
          <w:numId w:val="1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rPr>
        <w:t>江西省</w:t>
      </w:r>
      <w:r>
        <w:rPr>
          <w:rFonts w:hint="eastAsia" w:ascii="宋体" w:hAnsi="宋体" w:cs="宋体"/>
          <w:color w:val="auto"/>
          <w:kern w:val="0"/>
          <w:szCs w:val="21"/>
          <w:shd w:val="clear" w:color="auto" w:fill="FFFFFF"/>
          <w:lang w:eastAsia="zh-CN"/>
        </w:rPr>
        <w:t>第九届大学生艺术展演；</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“提线木偶”月队来我校专场演出</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全国“校园好声音”比赛，我校节目准备工作</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“唱响红色主旋律，迎接十九大召开”文艺晚会</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江西教育电视台在我校录制“纪念三个90周年，喜迎十九大召开”文艺节目</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进行全省戏曲节目录像展评的节目准备</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观看十九大开幕会</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“两团两队”新队员面试及培训工作</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博雅论坛----红色歌曲赏析</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p>
    <w:p>
      <w:pPr>
        <w:widowControl/>
        <w:numPr>
          <w:ilvl w:val="0"/>
          <w:numId w:val="14"/>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5"/>
        </w:numPr>
        <w:shd w:val="clear" w:color="auto" w:fill="FFFFFF"/>
        <w:spacing w:line="360" w:lineRule="exact"/>
        <w:jc w:val="left"/>
        <w:rPr>
          <w:rFonts w:hint="eastAsia" w:ascii="宋体" w:hAnsi="宋体" w:eastAsia="宋体" w:cs="宋体"/>
          <w:i w:val="0"/>
          <w:color w:val="auto"/>
          <w:kern w:val="0"/>
          <w:sz w:val="24"/>
          <w:szCs w:val="24"/>
          <w:u w:val="none"/>
          <w:lang w:val="en-US" w:eastAsia="zh-CN" w:bidi="ar"/>
        </w:rPr>
      </w:pPr>
      <w:r>
        <w:rPr>
          <w:rFonts w:hint="default" w:ascii="宋体" w:hAnsi="宋体" w:eastAsia="宋体" w:cs="宋体"/>
          <w:i w:val="0"/>
          <w:color w:val="auto"/>
          <w:kern w:val="0"/>
          <w:sz w:val="24"/>
          <w:szCs w:val="24"/>
          <w:u w:val="none"/>
          <w:lang w:val="en-US" w:eastAsia="zh-CN" w:bidi="ar"/>
        </w:rPr>
        <w:t>2017年春季学期中职资助报账、发放</w:t>
      </w:r>
      <w:r>
        <w:rPr>
          <w:rFonts w:hint="eastAsia" w:ascii="宋体" w:hAnsi="宋体" w:eastAsia="宋体" w:cs="宋体"/>
          <w:i w:val="0"/>
          <w:color w:val="auto"/>
          <w:kern w:val="0"/>
          <w:sz w:val="24"/>
          <w:szCs w:val="24"/>
          <w:u w:val="none"/>
          <w:lang w:val="en-US" w:eastAsia="zh-CN" w:bidi="ar"/>
        </w:rPr>
        <w:t>和系统数据维护；</w:t>
      </w:r>
    </w:p>
    <w:p>
      <w:pPr>
        <w:widowControl/>
        <w:numPr>
          <w:ilvl w:val="0"/>
          <w:numId w:val="1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eastAsia="宋体" w:cs="宋体"/>
          <w:i w:val="0"/>
          <w:color w:val="auto"/>
          <w:kern w:val="0"/>
          <w:sz w:val="24"/>
          <w:szCs w:val="24"/>
          <w:u w:val="none"/>
          <w:lang w:val="en-US" w:eastAsia="zh-CN" w:bidi="ar"/>
        </w:rPr>
        <w:t>2017年秋季学期中职资助材料审核</w:t>
      </w:r>
      <w:r>
        <w:rPr>
          <w:rFonts w:hint="eastAsia" w:ascii="宋体" w:hAnsi="宋体" w:cs="宋体"/>
          <w:i w:val="0"/>
          <w:color w:val="auto"/>
          <w:kern w:val="0"/>
          <w:sz w:val="24"/>
          <w:szCs w:val="24"/>
          <w:u w:val="none"/>
          <w:lang w:val="en-US" w:eastAsia="zh-CN" w:bidi="ar"/>
        </w:rPr>
        <w:t>；</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建档立卡信息月报；</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学工平台贫困生信息库审核；</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国家开发银行生源地助学贷款到账、退费及学费收据发放；</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按照学校教学进程安排电气学院9个班级的公益实训课；</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按照工作计划安排17年-18年年度全校学生勤工助学工作；</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上报省学生资助管理中心2017年度应征入伍服兵役学费资助；</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上报省资助中心《2016-2017学年国家励志奖学金》和《2017-2018学年国家助学金》；</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上报并发放退役入学士兵全日制学费资助和入伍学费补偿国家助学贷款代偿工作；</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办理2017年度国家三金资助卡；</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高基表最后统计，上交院办；</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全国资助系统、全国辅导员管理系统维护、信息上传更新；</w:t>
      </w:r>
    </w:p>
    <w:p>
      <w:pPr>
        <w:widowControl/>
        <w:numPr>
          <w:ilvl w:val="0"/>
          <w:numId w:val="13"/>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审核各二级学院求职创业补贴材料并上交0</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5、宿管管理</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（1）熟悉、完善学生工作办公系统公寓管理部分；</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（2）宿舍文化建设；</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（3）制作2017级新生住宿信息卡；</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（4）保安值班员工作质量检查；</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（5）秋季防火安全教育及检查；</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（6）运动会期间加强学生公寓管理；</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（7）学生住宿微调及17级新生住宿信息报财务处。</w:t>
      </w:r>
    </w:p>
    <w:p>
      <w:pPr>
        <w:widowControl/>
        <w:numPr>
          <w:ilvl w:val="0"/>
          <w:numId w:val="0"/>
        </w:numPr>
        <w:shd w:val="clear" w:color="auto" w:fill="FFFFFF"/>
        <w:spacing w:line="360" w:lineRule="exact"/>
        <w:ind w:leftChars="0"/>
        <w:jc w:val="left"/>
        <w:rPr>
          <w:rFonts w:hint="eastAsia" w:ascii="宋体" w:hAnsi="宋体" w:cs="宋体"/>
          <w:color w:val="000000" w:themeColor="text1"/>
          <w:kern w:val="0"/>
          <w:szCs w:val="21"/>
          <w:shd w:val="clear" w:color="auto" w:fill="FFFFFF"/>
          <w:lang w:eastAsia="zh-CN"/>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6、学工系统应用</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1</w:t>
      </w:r>
      <w:r>
        <w:rPr>
          <w:rFonts w:hint="eastAsia" w:ascii="宋体" w:hAnsi="宋体" w:cs="宋体"/>
          <w:color w:val="000000" w:themeColor="text1"/>
          <w:kern w:val="0"/>
          <w:szCs w:val="21"/>
          <w:shd w:val="clear" w:color="auto" w:fill="FFFFFF"/>
          <w:lang w:eastAsia="zh-CN"/>
          <w14:textFill>
            <w14:solidFill>
              <w14:schemeClr w14:val="tx1"/>
            </w14:solidFill>
          </w14:textFill>
        </w:rPr>
        <w:t>）学工平台新生班主任信息对接微信企业号后台，方便新生班主任关注使用</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2</w:t>
      </w:r>
      <w:r>
        <w:rPr>
          <w:rFonts w:hint="eastAsia" w:ascii="宋体" w:hAnsi="宋体" w:cs="宋体"/>
          <w:color w:val="000000" w:themeColor="text1"/>
          <w:kern w:val="0"/>
          <w:szCs w:val="21"/>
          <w:shd w:val="clear" w:color="auto" w:fill="FFFFFF"/>
          <w:lang w:eastAsia="zh-CN"/>
          <w14:textFill>
            <w14:solidFill>
              <w14:schemeClr w14:val="tx1"/>
            </w14:solidFill>
          </w14:textFill>
        </w:rPr>
        <w:t>）继续</w:t>
      </w:r>
      <w:r>
        <w:rPr>
          <w:rFonts w:hint="eastAsia" w:ascii="宋体" w:hAnsi="宋体" w:cs="宋体"/>
          <w:color w:val="000000" w:themeColor="text1"/>
          <w:kern w:val="0"/>
          <w:szCs w:val="21"/>
          <w:shd w:val="clear" w:color="auto" w:fill="FFFFFF"/>
          <w14:textFill>
            <w14:solidFill>
              <w14:schemeClr w14:val="tx1"/>
            </w14:solidFill>
          </w14:textFill>
        </w:rPr>
        <w:t>完善</w:t>
      </w:r>
      <w:r>
        <w:rPr>
          <w:rFonts w:hint="eastAsia" w:ascii="宋体" w:hAnsi="宋体" w:cs="宋体"/>
          <w:color w:val="000000" w:themeColor="text1"/>
          <w:kern w:val="0"/>
          <w:szCs w:val="21"/>
          <w:shd w:val="clear" w:color="auto" w:fill="FFFFFF"/>
          <w:lang w:eastAsia="zh-CN"/>
          <w14:textFill>
            <w14:solidFill>
              <w14:schemeClr w14:val="tx1"/>
            </w14:solidFill>
          </w14:textFill>
        </w:rPr>
        <w:t>部门调整后各</w:t>
      </w:r>
      <w:r>
        <w:rPr>
          <w:rFonts w:hint="eastAsia" w:ascii="宋体" w:hAnsi="宋体" w:cs="宋体"/>
          <w:color w:val="000000" w:themeColor="text1"/>
          <w:kern w:val="0"/>
          <w:szCs w:val="21"/>
          <w:shd w:val="clear" w:color="auto" w:fill="FFFFFF"/>
          <w14:textFill>
            <w14:solidFill>
              <w14:schemeClr w14:val="tx1"/>
            </w14:solidFill>
          </w14:textFill>
        </w:rPr>
        <w:t>二级学院</w:t>
      </w:r>
      <w:r>
        <w:rPr>
          <w:rFonts w:hint="eastAsia" w:ascii="宋体" w:hAnsi="宋体" w:cs="宋体"/>
          <w:color w:val="000000" w:themeColor="text1"/>
          <w:kern w:val="0"/>
          <w:szCs w:val="21"/>
          <w:shd w:val="clear" w:color="auto" w:fill="FFFFFF"/>
          <w:lang w:eastAsia="zh-CN"/>
          <w14:textFill>
            <w14:solidFill>
              <w14:schemeClr w14:val="tx1"/>
            </w14:solidFill>
          </w14:textFill>
        </w:rPr>
        <w:t>、人员</w:t>
      </w:r>
      <w:r>
        <w:rPr>
          <w:rFonts w:hint="eastAsia" w:ascii="宋体" w:hAnsi="宋体" w:cs="宋体"/>
          <w:color w:val="000000" w:themeColor="text1"/>
          <w:kern w:val="0"/>
          <w:szCs w:val="21"/>
          <w:shd w:val="clear" w:color="auto" w:fill="FFFFFF"/>
          <w14:textFill>
            <w14:solidFill>
              <w14:schemeClr w14:val="tx1"/>
            </w14:solidFill>
          </w14:textFill>
        </w:rPr>
        <w:t>权限分配；</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color w:val="000000" w:themeColor="text1"/>
          <w:kern w:val="0"/>
          <w:szCs w:val="21"/>
          <w:shd w:val="clear" w:color="auto" w:fill="FFFFFF"/>
          <w:lang w:eastAsia="zh-CN"/>
          <w14:textFill>
            <w14:solidFill>
              <w14:schemeClr w14:val="tx1"/>
            </w14:solidFill>
          </w14:textFill>
        </w:rPr>
        <w:t>）加强学工外网建设；</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4</w:t>
      </w:r>
      <w:r>
        <w:rPr>
          <w:rFonts w:hint="eastAsia" w:ascii="宋体" w:hAnsi="宋体" w:cs="宋体"/>
          <w:color w:val="000000" w:themeColor="text1"/>
          <w:kern w:val="0"/>
          <w:szCs w:val="21"/>
          <w:shd w:val="clear" w:color="auto" w:fill="FFFFFF"/>
          <w:lang w:eastAsia="zh-CN"/>
          <w14:textFill>
            <w14:solidFill>
              <w14:schemeClr w14:val="tx1"/>
            </w14:solidFill>
          </w14:textFill>
        </w:rPr>
        <w:t>）全国辅导员系统信息添加、维护</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5</w:t>
      </w:r>
      <w:r>
        <w:rPr>
          <w:rFonts w:hint="eastAsia" w:ascii="宋体" w:hAnsi="宋体" w:cs="宋体"/>
          <w:color w:val="000000" w:themeColor="text1"/>
          <w:kern w:val="0"/>
          <w:szCs w:val="21"/>
          <w:shd w:val="clear" w:color="auto" w:fill="FFFFFF"/>
          <w:lang w:eastAsia="zh-CN"/>
          <w14:textFill>
            <w14:solidFill>
              <w14:schemeClr w14:val="tx1"/>
            </w14:solidFill>
          </w14:textFill>
        </w:rPr>
        <w:t>）全国资助系统信息添加、完善</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lang w:val="en-US" w:eastAsia="zh-CN"/>
          <w14:textFill>
            <w14:solidFill>
              <w14:schemeClr w14:val="tx1"/>
            </w14:solidFill>
          </w14:textFill>
        </w:rPr>
        <w:t>6</w:t>
      </w:r>
      <w:r>
        <w:rPr>
          <w:rFonts w:hint="eastAsia" w:ascii="宋体" w:hAnsi="宋体" w:cs="宋体"/>
          <w:color w:val="000000" w:themeColor="text1"/>
          <w:kern w:val="0"/>
          <w:szCs w:val="21"/>
          <w:shd w:val="clear" w:color="auto" w:fill="FFFFFF"/>
          <w:lang w:eastAsia="zh-CN"/>
          <w14:textFill>
            <w14:solidFill>
              <w14:schemeClr w14:val="tx1"/>
            </w14:solidFill>
          </w14:textFill>
        </w:rPr>
        <w:t>）</w:t>
      </w:r>
      <w:r>
        <w:rPr>
          <w:rFonts w:hint="eastAsia" w:ascii="宋体" w:hAnsi="宋体" w:cs="宋体"/>
          <w:color w:val="000000" w:themeColor="text1"/>
          <w:kern w:val="0"/>
          <w:szCs w:val="21"/>
          <w:shd w:val="clear" w:color="auto" w:fill="FFFFFF"/>
          <w14:textFill>
            <w14:solidFill>
              <w14:schemeClr w14:val="tx1"/>
            </w14:solidFill>
          </w14:textFill>
        </w:rPr>
        <w:t>协助各二级学院</w:t>
      </w:r>
      <w:r>
        <w:rPr>
          <w:rFonts w:hint="eastAsia" w:ascii="宋体" w:hAnsi="宋体" w:cs="宋体"/>
          <w:color w:val="000000" w:themeColor="text1"/>
          <w:kern w:val="0"/>
          <w:szCs w:val="21"/>
          <w:shd w:val="clear" w:color="auto" w:fill="FFFFFF"/>
          <w:lang w:eastAsia="zh-CN"/>
          <w14:textFill>
            <w14:solidFill>
              <w14:schemeClr w14:val="tx1"/>
            </w14:solidFill>
          </w14:textFill>
        </w:rPr>
        <w:t>各项考勤</w:t>
      </w:r>
      <w:r>
        <w:rPr>
          <w:rFonts w:hint="eastAsia" w:ascii="宋体" w:hAnsi="宋体" w:cs="宋体"/>
          <w:color w:val="000000" w:themeColor="text1"/>
          <w:kern w:val="0"/>
          <w:szCs w:val="21"/>
          <w:shd w:val="clear" w:color="auto" w:fill="FFFFFF"/>
          <w14:textFill>
            <w14:solidFill>
              <w14:schemeClr w14:val="tx1"/>
            </w14:solidFill>
          </w14:textFill>
        </w:rPr>
        <w:t>数据上传</w:t>
      </w:r>
      <w:r>
        <w:rPr>
          <w:rFonts w:hint="eastAsia" w:ascii="宋体" w:hAnsi="宋体" w:cs="宋体"/>
          <w:color w:val="000000" w:themeColor="text1"/>
          <w:kern w:val="0"/>
          <w:szCs w:val="21"/>
          <w:shd w:val="clear" w:color="auto" w:fill="FFFFFF"/>
          <w:lang w:eastAsia="zh-CN"/>
          <w14:textFill>
            <w14:solidFill>
              <w14:schemeClr w14:val="tx1"/>
            </w14:solidFill>
          </w14:textFill>
        </w:rPr>
        <w:t>及其他系统项目建设。</w:t>
      </w:r>
    </w:p>
    <w:p>
      <w:pPr>
        <w:widowControl/>
        <w:numPr>
          <w:ilvl w:val="0"/>
          <w:numId w:val="0"/>
        </w:numPr>
        <w:shd w:val="clear" w:color="auto" w:fill="FFFFFF"/>
        <w:spacing w:line="360" w:lineRule="exact"/>
        <w:ind w:leftChars="0"/>
        <w:jc w:val="left"/>
      </w:pPr>
    </w:p>
    <w:p>
      <w:pPr>
        <w:pStyle w:val="2"/>
        <w:numPr>
          <w:ilvl w:val="0"/>
          <w:numId w:val="0"/>
        </w:numPr>
        <w:spacing w:before="156" w:beforeLines="50" w:after="156" w:afterLines="50"/>
        <w:rPr>
          <w:rStyle w:val="9"/>
          <w:rFonts w:hint="eastAsia" w:ascii="宋体" w:hAnsi="宋体" w:cs="宋体"/>
          <w:b/>
          <w:color w:val="000000" w:themeColor="text1"/>
          <w:kern w:val="0"/>
          <w:sz w:val="24"/>
          <w:shd w:val="clear" w:color="auto" w:fill="FFFFFF"/>
          <w14:textFill>
            <w14:solidFill>
              <w14:schemeClr w14:val="tx1"/>
            </w14:solidFill>
          </w14:textFill>
        </w:rPr>
      </w:pPr>
    </w:p>
    <w:p>
      <w:pPr>
        <w:pStyle w:val="2"/>
        <w:numPr>
          <w:ilvl w:val="0"/>
          <w:numId w:val="0"/>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7-10</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rFonts w:hint="eastAsia"/>
                <w:b/>
                <w:bCs/>
                <w:kern w:val="0"/>
              </w:rPr>
            </w:pPr>
            <w:r>
              <w:rPr>
                <w:rFonts w:hint="eastAsia"/>
                <w:b/>
                <w:bCs/>
                <w:kern w:val="0"/>
              </w:rPr>
              <w:t>船舶</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汽车</w:t>
            </w:r>
          </w:p>
          <w:p>
            <w:pPr>
              <w:jc w:val="center"/>
            </w:pPr>
            <w:r>
              <w:rPr>
                <w:rFonts w:hint="eastAsia"/>
                <w:b/>
                <w:bCs/>
                <w:kern w:val="0"/>
                <w:lang w:eastAsia="zh-CN"/>
              </w:rPr>
              <w:t>学院</w:t>
            </w:r>
          </w:p>
        </w:tc>
        <w:tc>
          <w:tcPr>
            <w:tcW w:w="900" w:type="dxa"/>
            <w:tcBorders>
              <w:top w:val="single" w:color="auto" w:sz="4" w:space="0"/>
            </w:tcBorders>
            <w:vAlign w:val="center"/>
          </w:tcPr>
          <w:p>
            <w:pPr>
              <w:jc w:val="center"/>
              <w:rPr>
                <w:rFonts w:hint="eastAsia"/>
                <w:b/>
                <w:bCs/>
                <w:kern w:val="0"/>
              </w:rPr>
            </w:pPr>
            <w:r>
              <w:rPr>
                <w:rFonts w:hint="eastAsia"/>
                <w:b/>
                <w:bCs/>
                <w:kern w:val="0"/>
              </w:rPr>
              <w:t>信息</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rFonts w:hint="eastAsia"/>
                <w:b/>
                <w:bCs/>
                <w:kern w:val="0"/>
              </w:rPr>
            </w:pPr>
            <w:r>
              <w:rPr>
                <w:rFonts w:hint="eastAsia"/>
                <w:b/>
                <w:bCs/>
                <w:kern w:val="0"/>
              </w:rPr>
              <w:t>建筑</w:t>
            </w:r>
          </w:p>
          <w:p>
            <w:pPr>
              <w:jc w:val="center"/>
            </w:pPr>
            <w:r>
              <w:rPr>
                <w:rFonts w:hint="eastAsia"/>
                <w:b/>
                <w:bCs/>
                <w:kern w:val="0"/>
              </w:rPr>
              <w:t>学院</w:t>
            </w:r>
          </w:p>
        </w:tc>
        <w:tc>
          <w:tcPr>
            <w:tcW w:w="867" w:type="dxa"/>
            <w:tcBorders>
              <w:top w:val="single" w:color="auto" w:sz="4" w:space="0"/>
            </w:tcBorders>
            <w:vAlign w:val="center"/>
          </w:tcPr>
          <w:p>
            <w:pPr>
              <w:jc w:val="center"/>
              <w:rPr>
                <w:rFonts w:hint="eastAsia"/>
                <w:b/>
                <w:bCs/>
                <w:kern w:val="0"/>
              </w:rPr>
            </w:pPr>
            <w:r>
              <w:rPr>
                <w:rFonts w:hint="eastAsia"/>
                <w:b/>
                <w:bCs/>
                <w:kern w:val="0"/>
              </w:rPr>
              <w:t>经管</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eastAsia="宋体"/>
                <w:kern w:val="0"/>
                <w:lang w:val="en-US" w:eastAsia="zh-CN"/>
              </w:rPr>
            </w:pPr>
            <w:r>
              <w:rPr>
                <w:rFonts w:hint="eastAsia"/>
                <w:kern w:val="0"/>
                <w:lang w:val="en-US" w:eastAsia="zh-CN"/>
              </w:rPr>
              <w:t>98.06%</w:t>
            </w:r>
          </w:p>
        </w:tc>
        <w:tc>
          <w:tcPr>
            <w:tcW w:w="916" w:type="dxa"/>
            <w:vAlign w:val="center"/>
          </w:tcPr>
          <w:p>
            <w:pPr>
              <w:jc w:val="center"/>
              <w:rPr>
                <w:rFonts w:hint="eastAsia" w:eastAsia="宋体"/>
                <w:kern w:val="0"/>
                <w:lang w:val="en-US" w:eastAsia="zh-CN"/>
              </w:rPr>
            </w:pPr>
            <w:r>
              <w:rPr>
                <w:rFonts w:hint="eastAsia"/>
                <w:kern w:val="0"/>
                <w:lang w:val="en-US" w:eastAsia="zh-CN"/>
              </w:rPr>
              <w:t>99.25%</w:t>
            </w:r>
          </w:p>
        </w:tc>
        <w:tc>
          <w:tcPr>
            <w:tcW w:w="900" w:type="dxa"/>
            <w:vAlign w:val="center"/>
          </w:tcPr>
          <w:p>
            <w:pPr>
              <w:jc w:val="center"/>
            </w:pPr>
            <w:r>
              <w:rPr>
                <w:rFonts w:hint="eastAsia"/>
                <w:kern w:val="0"/>
                <w:lang w:val="en-US" w:eastAsia="zh-CN"/>
              </w:rPr>
              <w:t>99.74%</w:t>
            </w:r>
          </w:p>
        </w:tc>
        <w:tc>
          <w:tcPr>
            <w:tcW w:w="978" w:type="dxa"/>
            <w:tcBorders>
              <w:right w:val="single" w:color="auto" w:sz="4" w:space="0"/>
            </w:tcBorders>
            <w:vAlign w:val="center"/>
          </w:tcPr>
          <w:p>
            <w:pPr>
              <w:jc w:val="center"/>
            </w:pPr>
            <w:r>
              <w:rPr>
                <w:rFonts w:hint="eastAsia"/>
                <w:kern w:val="0"/>
                <w:szCs w:val="21"/>
                <w:lang w:val="en-US" w:eastAsia="zh-CN"/>
              </w:rPr>
              <w:t>98.75%</w:t>
            </w:r>
          </w:p>
        </w:tc>
        <w:tc>
          <w:tcPr>
            <w:tcW w:w="900" w:type="dxa"/>
            <w:vAlign w:val="center"/>
          </w:tcPr>
          <w:p>
            <w:pPr>
              <w:jc w:val="center"/>
            </w:pPr>
            <w:r>
              <w:rPr>
                <w:rFonts w:hint="eastAsia"/>
                <w:kern w:val="0"/>
                <w:lang w:val="en-US" w:eastAsia="zh-CN"/>
              </w:rPr>
              <w:t>99.45%</w:t>
            </w:r>
          </w:p>
        </w:tc>
        <w:tc>
          <w:tcPr>
            <w:tcW w:w="883" w:type="dxa"/>
            <w:tcBorders>
              <w:right w:val="single" w:color="auto" w:sz="4" w:space="0"/>
            </w:tcBorders>
            <w:vAlign w:val="center"/>
          </w:tcPr>
          <w:p>
            <w:pPr>
              <w:jc w:val="center"/>
            </w:pPr>
            <w:r>
              <w:rPr>
                <w:rFonts w:hint="eastAsia"/>
                <w:kern w:val="0"/>
                <w:lang w:val="en-US" w:eastAsia="zh-CN"/>
              </w:rPr>
              <w:t>99.50%</w:t>
            </w:r>
          </w:p>
        </w:tc>
        <w:tc>
          <w:tcPr>
            <w:tcW w:w="867" w:type="dxa"/>
            <w:vAlign w:val="center"/>
          </w:tcPr>
          <w:p>
            <w:pPr>
              <w:jc w:val="center"/>
            </w:pPr>
            <w:r>
              <w:rPr>
                <w:rFonts w:hint="eastAsia"/>
                <w:kern w:val="0"/>
                <w:lang w:val="en-US" w:eastAsia="zh-CN"/>
              </w:rPr>
              <w:t>99.00%</w:t>
            </w:r>
          </w:p>
        </w:tc>
        <w:tc>
          <w:tcPr>
            <w:tcW w:w="924" w:type="dxa"/>
            <w:tcBorders>
              <w:right w:val="single" w:color="auto" w:sz="4" w:space="0"/>
            </w:tcBorders>
            <w:vAlign w:val="center"/>
          </w:tcPr>
          <w:p>
            <w:pPr>
              <w:jc w:val="center"/>
            </w:pPr>
            <w:r>
              <w:rPr>
                <w:rFonts w:hint="eastAsia"/>
                <w:kern w:val="0"/>
                <w:lang w:val="en-US" w:eastAsia="zh-CN"/>
              </w:rPr>
              <w:t>98.00%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98.8%</w:t>
            </w:r>
          </w:p>
        </w:tc>
        <w:tc>
          <w:tcPr>
            <w:tcW w:w="91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98.93%</w:t>
            </w:r>
          </w:p>
        </w:tc>
        <w:tc>
          <w:tcPr>
            <w:tcW w:w="900" w:type="dxa"/>
            <w:shd w:val="clear" w:color="auto" w:fill="BEBEBE" w:themeFill="background1" w:themeFillShade="BF"/>
            <w:vAlign w:val="center"/>
          </w:tcPr>
          <w:p>
            <w:pPr>
              <w:jc w:val="center"/>
            </w:pPr>
            <w:r>
              <w:rPr>
                <w:rFonts w:hint="eastAsia"/>
                <w:kern w:val="0"/>
                <w:szCs w:val="21"/>
                <w:lang w:val="en-US" w:eastAsia="zh-CN"/>
              </w:rPr>
              <w:t>100%</w:t>
            </w:r>
          </w:p>
        </w:tc>
        <w:tc>
          <w:tcPr>
            <w:tcW w:w="978"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100.00%</w:t>
            </w:r>
          </w:p>
        </w:tc>
        <w:tc>
          <w:tcPr>
            <w:tcW w:w="900" w:type="dxa"/>
            <w:shd w:val="clear" w:color="auto" w:fill="BEBEBE" w:themeFill="background1" w:themeFillShade="BF"/>
            <w:vAlign w:val="center"/>
          </w:tcPr>
          <w:p>
            <w:pPr>
              <w:jc w:val="center"/>
            </w:pPr>
            <w:r>
              <w:rPr>
                <w:rFonts w:hint="eastAsia"/>
                <w:kern w:val="0"/>
                <w:szCs w:val="21"/>
                <w:lang w:val="en-US" w:eastAsia="zh-CN"/>
              </w:rPr>
              <w:t>98.45%</w:t>
            </w:r>
          </w:p>
        </w:tc>
        <w:tc>
          <w:tcPr>
            <w:tcW w:w="883"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97.5%</w:t>
            </w:r>
          </w:p>
        </w:tc>
        <w:tc>
          <w:tcPr>
            <w:tcW w:w="867" w:type="dxa"/>
            <w:shd w:val="clear" w:color="auto" w:fill="BEBEBE" w:themeFill="background1" w:themeFillShade="BF"/>
            <w:vAlign w:val="center"/>
          </w:tcPr>
          <w:p>
            <w:pPr>
              <w:jc w:val="center"/>
            </w:pPr>
            <w:r>
              <w:rPr>
                <w:rFonts w:hint="eastAsia"/>
                <w:kern w:val="0"/>
                <w:szCs w:val="21"/>
                <w:lang w:val="en-US" w:eastAsia="zh-CN"/>
              </w:rPr>
              <w:t>97.15%</w:t>
            </w:r>
          </w:p>
        </w:tc>
        <w:tc>
          <w:tcPr>
            <w:tcW w:w="924"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99.80%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eastAsia="宋体"/>
                <w:kern w:val="0"/>
                <w:szCs w:val="21"/>
                <w:lang w:val="en-US" w:eastAsia="zh-CN"/>
              </w:rPr>
            </w:pPr>
            <w:r>
              <w:rPr>
                <w:rFonts w:hint="eastAsia"/>
                <w:kern w:val="0"/>
                <w:szCs w:val="21"/>
                <w:lang w:val="en-US" w:eastAsia="zh-CN"/>
              </w:rPr>
              <w:t>99.15%</w:t>
            </w:r>
          </w:p>
        </w:tc>
        <w:tc>
          <w:tcPr>
            <w:tcW w:w="916" w:type="dxa"/>
            <w:vAlign w:val="center"/>
          </w:tcPr>
          <w:p>
            <w:pPr>
              <w:jc w:val="center"/>
              <w:rPr>
                <w:rFonts w:hint="eastAsia" w:eastAsia="宋体"/>
                <w:kern w:val="0"/>
                <w:szCs w:val="21"/>
                <w:lang w:val="en-US" w:eastAsia="zh-CN"/>
              </w:rPr>
            </w:pPr>
            <w:r>
              <w:rPr>
                <w:rFonts w:hint="eastAsia"/>
                <w:kern w:val="0"/>
                <w:szCs w:val="21"/>
                <w:lang w:val="en-US" w:eastAsia="zh-CN"/>
              </w:rPr>
              <w:t>99.25%</w:t>
            </w:r>
          </w:p>
        </w:tc>
        <w:tc>
          <w:tcPr>
            <w:tcW w:w="900" w:type="dxa"/>
            <w:vAlign w:val="center"/>
          </w:tcPr>
          <w:p>
            <w:pPr>
              <w:jc w:val="center"/>
            </w:pPr>
            <w:r>
              <w:rPr>
                <w:rFonts w:hint="eastAsia"/>
                <w:kern w:val="0"/>
                <w:szCs w:val="21"/>
                <w:lang w:val="en-US" w:eastAsia="zh-CN"/>
              </w:rPr>
              <w:t>99.87%</w:t>
            </w:r>
          </w:p>
        </w:tc>
        <w:tc>
          <w:tcPr>
            <w:tcW w:w="978" w:type="dxa"/>
            <w:tcBorders>
              <w:right w:val="single" w:color="auto" w:sz="4" w:space="0"/>
            </w:tcBorders>
            <w:vAlign w:val="center"/>
          </w:tcPr>
          <w:p>
            <w:pPr>
              <w:jc w:val="center"/>
            </w:pPr>
            <w:r>
              <w:rPr>
                <w:rFonts w:hint="eastAsia"/>
                <w:kern w:val="0"/>
                <w:szCs w:val="21"/>
                <w:lang w:val="en-US" w:eastAsia="zh-CN"/>
              </w:rPr>
              <w:t>48.75%</w:t>
            </w:r>
          </w:p>
        </w:tc>
        <w:tc>
          <w:tcPr>
            <w:tcW w:w="900" w:type="dxa"/>
            <w:vAlign w:val="center"/>
          </w:tcPr>
          <w:p>
            <w:pPr>
              <w:jc w:val="center"/>
            </w:pPr>
            <w:r>
              <w:rPr>
                <w:rFonts w:hint="eastAsia"/>
                <w:kern w:val="0"/>
                <w:szCs w:val="21"/>
                <w:lang w:val="en-US" w:eastAsia="zh-CN"/>
              </w:rPr>
              <w:t>99.87%</w:t>
            </w:r>
          </w:p>
        </w:tc>
        <w:tc>
          <w:tcPr>
            <w:tcW w:w="883" w:type="dxa"/>
            <w:tcBorders>
              <w:right w:val="single" w:color="auto" w:sz="4" w:space="0"/>
            </w:tcBorders>
            <w:vAlign w:val="center"/>
          </w:tcPr>
          <w:p>
            <w:pPr>
              <w:jc w:val="center"/>
            </w:pPr>
            <w:r>
              <w:rPr>
                <w:rFonts w:hint="eastAsia"/>
                <w:kern w:val="0"/>
                <w:szCs w:val="21"/>
                <w:lang w:val="en-US" w:eastAsia="zh-CN"/>
              </w:rPr>
              <w:t>99.50%</w:t>
            </w:r>
          </w:p>
        </w:tc>
        <w:tc>
          <w:tcPr>
            <w:tcW w:w="867" w:type="dxa"/>
            <w:vAlign w:val="center"/>
          </w:tcPr>
          <w:p>
            <w:pPr>
              <w:jc w:val="center"/>
            </w:pPr>
            <w:r>
              <w:rPr>
                <w:rFonts w:hint="eastAsia"/>
                <w:kern w:val="0"/>
                <w:szCs w:val="21"/>
                <w:lang w:val="en-US" w:eastAsia="zh-CN"/>
              </w:rPr>
              <w:t>99.75%</w:t>
            </w:r>
          </w:p>
        </w:tc>
        <w:tc>
          <w:tcPr>
            <w:tcW w:w="924" w:type="dxa"/>
            <w:tcBorders>
              <w:right w:val="single" w:color="auto" w:sz="4" w:space="0"/>
            </w:tcBorders>
            <w:vAlign w:val="center"/>
          </w:tcPr>
          <w:p>
            <w:pPr>
              <w:jc w:val="center"/>
            </w:pPr>
            <w:r>
              <w:rPr>
                <w:rFonts w:hint="eastAsia"/>
                <w:kern w:val="0"/>
                <w:szCs w:val="21"/>
                <w:lang w:val="en-US" w:eastAsia="zh-CN"/>
              </w:rPr>
              <w:t>99.25%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99.59%</w:t>
            </w:r>
          </w:p>
        </w:tc>
        <w:tc>
          <w:tcPr>
            <w:tcW w:w="91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99.70%</w:t>
            </w:r>
          </w:p>
        </w:tc>
        <w:tc>
          <w:tcPr>
            <w:tcW w:w="900" w:type="dxa"/>
            <w:shd w:val="clear" w:color="auto" w:fill="BEBEBE" w:themeFill="background1" w:themeFillShade="BF"/>
            <w:vAlign w:val="center"/>
          </w:tcPr>
          <w:p>
            <w:pPr>
              <w:jc w:val="center"/>
            </w:pPr>
            <w:r>
              <w:rPr>
                <w:rFonts w:hint="eastAsia"/>
                <w:kern w:val="0"/>
                <w:szCs w:val="21"/>
                <w:lang w:val="en-US" w:eastAsia="zh-CN"/>
              </w:rPr>
              <w:t>99.90%</w:t>
            </w:r>
          </w:p>
        </w:tc>
        <w:tc>
          <w:tcPr>
            <w:tcW w:w="978"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99.77%</w:t>
            </w:r>
          </w:p>
        </w:tc>
        <w:tc>
          <w:tcPr>
            <w:tcW w:w="900" w:type="dxa"/>
            <w:shd w:val="clear" w:color="auto" w:fill="BEBEBE" w:themeFill="background1" w:themeFillShade="BF"/>
            <w:vAlign w:val="center"/>
          </w:tcPr>
          <w:p>
            <w:pPr>
              <w:jc w:val="center"/>
            </w:pPr>
            <w:r>
              <w:rPr>
                <w:rFonts w:hint="eastAsia"/>
                <w:kern w:val="0"/>
                <w:szCs w:val="21"/>
                <w:lang w:val="en-US" w:eastAsia="zh-CN"/>
              </w:rPr>
              <w:t>98.39%</w:t>
            </w:r>
          </w:p>
        </w:tc>
        <w:tc>
          <w:tcPr>
            <w:tcW w:w="883"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99.39%</w:t>
            </w:r>
          </w:p>
        </w:tc>
        <w:tc>
          <w:tcPr>
            <w:tcW w:w="867" w:type="dxa"/>
            <w:shd w:val="clear" w:color="auto" w:fill="BEBEBE" w:themeFill="background1" w:themeFillShade="BF"/>
            <w:vAlign w:val="center"/>
          </w:tcPr>
          <w:p>
            <w:pPr>
              <w:jc w:val="center"/>
            </w:pPr>
            <w:r>
              <w:rPr>
                <w:rFonts w:hint="eastAsia"/>
                <w:kern w:val="0"/>
                <w:szCs w:val="21"/>
                <w:lang w:val="en-US" w:eastAsia="zh-CN"/>
              </w:rPr>
              <w:t>99.73%</w:t>
            </w:r>
          </w:p>
        </w:tc>
        <w:tc>
          <w:tcPr>
            <w:tcW w:w="924" w:type="dxa"/>
            <w:tcBorders>
              <w:right w:val="single" w:color="auto" w:sz="4" w:space="0"/>
            </w:tcBorders>
            <w:shd w:val="clear" w:color="auto" w:fill="BEBEBE" w:themeFill="background1" w:themeFillShade="BF"/>
            <w:vAlign w:val="center"/>
          </w:tcPr>
          <w:p>
            <w:pPr>
              <w:jc w:val="center"/>
            </w:pPr>
            <w:r>
              <w:rPr>
                <w:rFonts w:hint="eastAsia"/>
                <w:kern w:val="0"/>
                <w:szCs w:val="21"/>
                <w:lang w:val="en-US" w:eastAsia="zh-CN"/>
              </w:rPr>
              <w:t>99.34%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eastAsia="宋体"/>
                <w:kern w:val="0"/>
                <w:szCs w:val="21"/>
                <w:lang w:val="en-US" w:eastAsia="zh-CN"/>
              </w:rPr>
            </w:pPr>
            <w:r>
              <w:rPr>
                <w:rFonts w:hint="eastAsia"/>
                <w:kern w:val="0"/>
                <w:szCs w:val="21"/>
                <w:lang w:val="en-US" w:eastAsia="zh-CN"/>
              </w:rPr>
              <w:t>99.99%</w:t>
            </w:r>
          </w:p>
        </w:tc>
        <w:tc>
          <w:tcPr>
            <w:tcW w:w="916" w:type="dxa"/>
            <w:vAlign w:val="center"/>
          </w:tcPr>
          <w:p>
            <w:pPr>
              <w:jc w:val="center"/>
              <w:rPr>
                <w:rFonts w:hint="eastAsia" w:eastAsia="宋体"/>
                <w:kern w:val="0"/>
                <w:szCs w:val="21"/>
                <w:lang w:val="en-US" w:eastAsia="zh-CN"/>
              </w:rPr>
            </w:pPr>
            <w:r>
              <w:rPr>
                <w:rFonts w:hint="eastAsia"/>
                <w:kern w:val="0"/>
                <w:szCs w:val="21"/>
                <w:lang w:val="en-US" w:eastAsia="zh-CN"/>
              </w:rPr>
              <w:t>98.00%</w:t>
            </w:r>
          </w:p>
        </w:tc>
        <w:tc>
          <w:tcPr>
            <w:tcW w:w="900" w:type="dxa"/>
            <w:vAlign w:val="center"/>
          </w:tcPr>
          <w:p>
            <w:pPr>
              <w:jc w:val="center"/>
            </w:pPr>
            <w:r>
              <w:rPr>
                <w:rFonts w:hint="eastAsia"/>
                <w:kern w:val="0"/>
                <w:szCs w:val="21"/>
                <w:lang w:val="en-US" w:eastAsia="zh-CN"/>
              </w:rPr>
              <w:t>99.83%</w:t>
            </w:r>
          </w:p>
        </w:tc>
        <w:tc>
          <w:tcPr>
            <w:tcW w:w="978" w:type="dxa"/>
            <w:tcBorders>
              <w:right w:val="single" w:color="auto" w:sz="4" w:space="0"/>
            </w:tcBorders>
            <w:vAlign w:val="center"/>
          </w:tcPr>
          <w:p>
            <w:pPr>
              <w:jc w:val="center"/>
            </w:pPr>
            <w:r>
              <w:rPr>
                <w:rFonts w:hint="eastAsia"/>
                <w:kern w:val="0"/>
                <w:szCs w:val="21"/>
                <w:lang w:val="en-US" w:eastAsia="zh-CN"/>
              </w:rPr>
              <w:t>100.00%</w:t>
            </w:r>
          </w:p>
        </w:tc>
        <w:tc>
          <w:tcPr>
            <w:tcW w:w="900" w:type="dxa"/>
            <w:vAlign w:val="center"/>
          </w:tcPr>
          <w:p>
            <w:pPr>
              <w:jc w:val="center"/>
            </w:pPr>
            <w:r>
              <w:rPr>
                <w:rFonts w:hint="eastAsia"/>
                <w:kern w:val="0"/>
                <w:szCs w:val="21"/>
                <w:lang w:val="en-US" w:eastAsia="zh-CN"/>
              </w:rPr>
              <w:t>98.18%</w:t>
            </w:r>
          </w:p>
        </w:tc>
        <w:tc>
          <w:tcPr>
            <w:tcW w:w="883" w:type="dxa"/>
            <w:tcBorders>
              <w:right w:val="single" w:color="auto" w:sz="4" w:space="0"/>
            </w:tcBorders>
            <w:vAlign w:val="center"/>
          </w:tcPr>
          <w:p>
            <w:pPr>
              <w:jc w:val="center"/>
            </w:pPr>
            <w:r>
              <w:rPr>
                <w:rFonts w:hint="eastAsia"/>
                <w:kern w:val="0"/>
                <w:szCs w:val="21"/>
                <w:lang w:val="en-US" w:eastAsia="zh-CN"/>
              </w:rPr>
              <w:t>99.00%</w:t>
            </w:r>
          </w:p>
        </w:tc>
        <w:tc>
          <w:tcPr>
            <w:tcW w:w="867" w:type="dxa"/>
            <w:vAlign w:val="center"/>
          </w:tcPr>
          <w:p>
            <w:pPr>
              <w:jc w:val="center"/>
            </w:pPr>
            <w:r>
              <w:rPr>
                <w:rFonts w:hint="eastAsia"/>
                <w:kern w:val="0"/>
                <w:szCs w:val="21"/>
                <w:lang w:val="en-US" w:eastAsia="zh-CN"/>
              </w:rPr>
              <w:t>91.25%</w:t>
            </w:r>
          </w:p>
        </w:tc>
        <w:tc>
          <w:tcPr>
            <w:tcW w:w="924" w:type="dxa"/>
            <w:tcBorders>
              <w:right w:val="single" w:color="auto" w:sz="4" w:space="0"/>
            </w:tcBorders>
            <w:vAlign w:val="center"/>
          </w:tcPr>
          <w:p>
            <w:pPr>
              <w:jc w:val="center"/>
            </w:pPr>
            <w:r>
              <w:rPr>
                <w:rFonts w:hint="eastAsia"/>
                <w:kern w:val="0"/>
                <w:szCs w:val="21"/>
                <w:lang w:val="en-US" w:eastAsia="zh-CN"/>
              </w:rPr>
              <w:t>91.00%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eastAsia="宋体"/>
                <w:kern w:val="0"/>
                <w:lang w:eastAsia="zh-CN"/>
              </w:rPr>
            </w:pPr>
            <w:r>
              <w:rPr>
                <w:rFonts w:hint="eastAsia"/>
                <w:kern w:val="0"/>
                <w:lang w:eastAsia="zh-CN"/>
              </w:rPr>
              <w:t>未查</w:t>
            </w:r>
          </w:p>
        </w:tc>
        <w:tc>
          <w:tcPr>
            <w:tcW w:w="91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97.73%</w:t>
            </w:r>
          </w:p>
        </w:tc>
        <w:tc>
          <w:tcPr>
            <w:tcW w:w="900" w:type="dxa"/>
            <w:tcBorders>
              <w:bottom w:val="single" w:color="auto" w:sz="4" w:space="0"/>
            </w:tcBorders>
            <w:shd w:val="clear" w:color="auto" w:fill="BEBEBE" w:themeFill="background1" w:themeFillShade="BF"/>
            <w:vAlign w:val="center"/>
          </w:tcPr>
          <w:p>
            <w:pPr>
              <w:jc w:val="center"/>
            </w:pPr>
            <w:r>
              <w:rPr>
                <w:rFonts w:hint="eastAsia"/>
                <w:kern w:val="0"/>
                <w:lang w:val="en-US" w:eastAsia="zh-CN"/>
              </w:rPr>
              <w:t>96.12%</w:t>
            </w:r>
          </w:p>
        </w:tc>
        <w:tc>
          <w:tcPr>
            <w:tcW w:w="978" w:type="dxa"/>
            <w:tcBorders>
              <w:bottom w:val="single" w:color="auto" w:sz="4" w:space="0"/>
              <w:right w:val="single" w:color="auto" w:sz="4" w:space="0"/>
            </w:tcBorders>
            <w:shd w:val="clear" w:color="auto" w:fill="BEBEBE" w:themeFill="background1" w:themeFillShade="BF"/>
            <w:vAlign w:val="center"/>
          </w:tcPr>
          <w:p>
            <w:pPr>
              <w:jc w:val="center"/>
            </w:pPr>
            <w:r>
              <w:rPr>
                <w:rFonts w:hint="eastAsia"/>
                <w:kern w:val="0"/>
                <w:szCs w:val="21"/>
                <w:lang w:val="en-US" w:eastAsia="zh-CN"/>
              </w:rPr>
              <w:t>未查</w:t>
            </w:r>
          </w:p>
        </w:tc>
        <w:tc>
          <w:tcPr>
            <w:tcW w:w="900" w:type="dxa"/>
            <w:tcBorders>
              <w:bottom w:val="single" w:color="auto" w:sz="4" w:space="0"/>
            </w:tcBorders>
            <w:shd w:val="clear" w:color="auto" w:fill="BEBEBE" w:themeFill="background1" w:themeFillShade="BF"/>
            <w:vAlign w:val="center"/>
          </w:tcPr>
          <w:p>
            <w:pPr>
              <w:jc w:val="center"/>
            </w:pPr>
            <w:r>
              <w:rPr>
                <w:rFonts w:hint="eastAsia"/>
                <w:kern w:val="0"/>
                <w:lang w:val="en-US" w:eastAsia="zh-CN"/>
              </w:rPr>
              <w:t>96.50%</w:t>
            </w:r>
          </w:p>
        </w:tc>
        <w:tc>
          <w:tcPr>
            <w:tcW w:w="883" w:type="dxa"/>
            <w:tcBorders>
              <w:bottom w:val="single" w:color="auto" w:sz="4" w:space="0"/>
              <w:right w:val="single" w:color="auto" w:sz="4" w:space="0"/>
            </w:tcBorders>
            <w:shd w:val="clear" w:color="auto" w:fill="BEBEBE" w:themeFill="background1" w:themeFillShade="BF"/>
            <w:vAlign w:val="center"/>
          </w:tcPr>
          <w:p>
            <w:pPr>
              <w:jc w:val="center"/>
            </w:pPr>
            <w:r>
              <w:rPr>
                <w:rFonts w:hint="eastAsia"/>
                <w:kern w:val="0"/>
                <w:lang w:val="en-US" w:eastAsia="zh-CN"/>
              </w:rPr>
              <w:t>86.28%</w:t>
            </w:r>
          </w:p>
        </w:tc>
        <w:tc>
          <w:tcPr>
            <w:tcW w:w="867" w:type="dxa"/>
            <w:tcBorders>
              <w:bottom w:val="single" w:color="auto" w:sz="4" w:space="0"/>
            </w:tcBorders>
            <w:shd w:val="clear" w:color="auto" w:fill="BEBEBE" w:themeFill="background1" w:themeFillShade="BF"/>
            <w:vAlign w:val="center"/>
          </w:tcPr>
          <w:p>
            <w:pPr>
              <w:jc w:val="center"/>
            </w:pPr>
            <w:r>
              <w:rPr>
                <w:rFonts w:hint="eastAsia"/>
                <w:kern w:val="0"/>
                <w:lang w:eastAsia="zh-CN"/>
              </w:rPr>
              <w:t>未查</w:t>
            </w:r>
          </w:p>
        </w:tc>
        <w:tc>
          <w:tcPr>
            <w:tcW w:w="924" w:type="dxa"/>
            <w:tcBorders>
              <w:bottom w:val="single" w:color="auto" w:sz="4" w:space="0"/>
              <w:right w:val="single" w:color="auto" w:sz="4" w:space="0"/>
            </w:tcBorders>
            <w:shd w:val="clear" w:color="auto" w:fill="BEBEBE" w:themeFill="background1" w:themeFillShade="BF"/>
            <w:vAlign w:val="center"/>
          </w:tcPr>
          <w:p>
            <w:pPr>
              <w:jc w:val="center"/>
            </w:pPr>
            <w:r>
              <w:rPr>
                <w:rFonts w:hint="eastAsia"/>
                <w:kern w:val="0"/>
                <w:szCs w:val="21"/>
                <w:lang w:val="en-US" w:eastAsia="zh-CN"/>
              </w:rPr>
              <w:t>未查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56%</w:t>
            </w:r>
          </w:p>
        </w:tc>
        <w:tc>
          <w:tcPr>
            <w:tcW w:w="91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17.25%</w:t>
            </w:r>
          </w:p>
        </w:tc>
        <w:tc>
          <w:tcPr>
            <w:tcW w:w="900" w:type="dxa"/>
            <w:tcBorders>
              <w:top w:val="single" w:color="auto" w:sz="4" w:space="0"/>
            </w:tcBorders>
            <w:vAlign w:val="center"/>
          </w:tcPr>
          <w:p>
            <w:pPr>
              <w:jc w:val="center"/>
            </w:pPr>
            <w:r>
              <w:rPr>
                <w:rFonts w:hint="eastAsia"/>
                <w:kern w:val="0"/>
                <w:lang w:val="en-US" w:eastAsia="zh-CN"/>
              </w:rPr>
              <w:t>24.00%</w:t>
            </w:r>
          </w:p>
        </w:tc>
        <w:tc>
          <w:tcPr>
            <w:tcW w:w="978" w:type="dxa"/>
            <w:tcBorders>
              <w:top w:val="single" w:color="auto" w:sz="4" w:space="0"/>
            </w:tcBorders>
            <w:vAlign w:val="center"/>
          </w:tcPr>
          <w:p>
            <w:pPr>
              <w:jc w:val="center"/>
            </w:pPr>
            <w:r>
              <w:rPr>
                <w:rFonts w:hint="eastAsia"/>
                <w:kern w:val="0"/>
                <w:szCs w:val="21"/>
                <w:lang w:val="en-US" w:eastAsia="zh-CN"/>
              </w:rPr>
              <w:t>0.25%</w:t>
            </w:r>
          </w:p>
        </w:tc>
        <w:tc>
          <w:tcPr>
            <w:tcW w:w="900" w:type="dxa"/>
            <w:tcBorders>
              <w:top w:val="single" w:color="auto" w:sz="4" w:space="0"/>
            </w:tcBorders>
            <w:vAlign w:val="center"/>
          </w:tcPr>
          <w:p>
            <w:pPr>
              <w:jc w:val="center"/>
            </w:pPr>
            <w:r>
              <w:rPr>
                <w:rFonts w:hint="eastAsia"/>
                <w:kern w:val="0"/>
                <w:lang w:val="en-US" w:eastAsia="zh-CN"/>
              </w:rPr>
              <w:t>49.05%</w:t>
            </w:r>
          </w:p>
        </w:tc>
        <w:tc>
          <w:tcPr>
            <w:tcW w:w="883" w:type="dxa"/>
            <w:tcBorders>
              <w:top w:val="single" w:color="auto" w:sz="4" w:space="0"/>
            </w:tcBorders>
            <w:vAlign w:val="center"/>
          </w:tcPr>
          <w:p>
            <w:pPr>
              <w:jc w:val="center"/>
            </w:pPr>
            <w:r>
              <w:rPr>
                <w:rFonts w:hint="eastAsia"/>
                <w:kern w:val="0"/>
                <w:lang w:val="en-US" w:eastAsia="zh-CN"/>
              </w:rPr>
              <w:t>16.00%</w:t>
            </w:r>
          </w:p>
        </w:tc>
        <w:tc>
          <w:tcPr>
            <w:tcW w:w="867" w:type="dxa"/>
            <w:tcBorders>
              <w:top w:val="single" w:color="auto" w:sz="4" w:space="0"/>
            </w:tcBorders>
            <w:vAlign w:val="center"/>
          </w:tcPr>
          <w:p>
            <w:pPr>
              <w:jc w:val="center"/>
            </w:pPr>
            <w:r>
              <w:rPr>
                <w:rFonts w:hint="eastAsia"/>
                <w:kern w:val="0"/>
                <w:lang w:val="en-US" w:eastAsia="zh-CN"/>
              </w:rPr>
              <w:t>0.90%</w:t>
            </w:r>
          </w:p>
        </w:tc>
        <w:tc>
          <w:tcPr>
            <w:tcW w:w="924" w:type="dxa"/>
            <w:tcBorders>
              <w:top w:val="single" w:color="auto" w:sz="4" w:space="0"/>
            </w:tcBorders>
            <w:vAlign w:val="center"/>
          </w:tcPr>
          <w:p>
            <w:pPr>
              <w:jc w:val="center"/>
            </w:pPr>
            <w:r>
              <w:rPr>
                <w:rFonts w:hint="eastAsia"/>
                <w:kern w:val="0"/>
                <w:szCs w:val="21"/>
                <w:lang w:val="en-US" w:eastAsia="zh-CN"/>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978" w:type="dxa"/>
            <w:tcBorders>
              <w:top w:val="single" w:color="auto" w:sz="4" w:space="0"/>
            </w:tcBorders>
            <w:vAlign w:val="center"/>
          </w:tcPr>
          <w:p>
            <w:pPr>
              <w:jc w:val="center"/>
            </w:pPr>
            <w:r>
              <w:rPr>
                <w:rFonts w:hint="eastAsia"/>
                <w:kern w:val="0"/>
                <w:szCs w:val="21"/>
                <w:lang w:val="en-US" w:eastAsia="zh-CN"/>
              </w:rPr>
              <w:t xml:space="preserve">13 </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883" w:type="dxa"/>
            <w:tcBorders>
              <w:top w:val="single" w:color="auto" w:sz="4" w:space="0"/>
            </w:tcBorders>
            <w:vAlign w:val="center"/>
          </w:tcPr>
          <w:p>
            <w:pPr>
              <w:jc w:val="center"/>
            </w:pPr>
            <w:r>
              <w:rPr>
                <w:rFonts w:hint="eastAsia"/>
                <w:kern w:val="0"/>
                <w:szCs w:val="21"/>
                <w:lang w:val="en-US" w:eastAsia="zh-CN"/>
              </w:rPr>
              <w:t>0</w:t>
            </w:r>
          </w:p>
        </w:tc>
        <w:tc>
          <w:tcPr>
            <w:tcW w:w="867" w:type="dxa"/>
            <w:tcBorders>
              <w:top w:val="single" w:color="auto" w:sz="4" w:space="0"/>
            </w:tcBorders>
            <w:vAlign w:val="center"/>
          </w:tcPr>
          <w:p>
            <w:pPr>
              <w:jc w:val="center"/>
            </w:pPr>
            <w:r>
              <w:rPr>
                <w:rFonts w:hint="eastAsia"/>
                <w:kern w:val="0"/>
                <w:szCs w:val="21"/>
                <w:lang w:val="en-US" w:eastAsia="zh-CN"/>
              </w:rPr>
              <w:t>0</w:t>
            </w:r>
          </w:p>
        </w:tc>
        <w:tc>
          <w:tcPr>
            <w:tcW w:w="924"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978" w:type="dxa"/>
            <w:tcBorders>
              <w:top w:val="single" w:color="auto" w:sz="4" w:space="0"/>
            </w:tcBorders>
            <w:vAlign w:val="center"/>
          </w:tcPr>
          <w:p>
            <w:pPr>
              <w:jc w:val="cente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883" w:type="dxa"/>
            <w:tcBorders>
              <w:top w:val="single" w:color="auto" w:sz="4" w:space="0"/>
            </w:tcBorders>
            <w:vAlign w:val="center"/>
          </w:tcPr>
          <w:p>
            <w:pPr>
              <w:jc w:val="center"/>
            </w:pPr>
            <w:r>
              <w:rPr>
                <w:rFonts w:hint="eastAsia"/>
                <w:kern w:val="0"/>
                <w:szCs w:val="21"/>
                <w:lang w:val="en-US" w:eastAsia="zh-CN"/>
              </w:rPr>
              <w:t>0</w:t>
            </w:r>
          </w:p>
        </w:tc>
        <w:tc>
          <w:tcPr>
            <w:tcW w:w="867" w:type="dxa"/>
            <w:tcBorders>
              <w:top w:val="single" w:color="auto" w:sz="4" w:space="0"/>
            </w:tcBorders>
            <w:vAlign w:val="center"/>
          </w:tcPr>
          <w:p>
            <w:pPr>
              <w:jc w:val="center"/>
            </w:pPr>
            <w:r>
              <w:rPr>
                <w:rFonts w:hint="eastAsia"/>
                <w:kern w:val="0"/>
                <w:szCs w:val="21"/>
                <w:lang w:val="en-US" w:eastAsia="zh-CN"/>
              </w:rPr>
              <w:t>0</w:t>
            </w:r>
          </w:p>
        </w:tc>
        <w:tc>
          <w:tcPr>
            <w:tcW w:w="924"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978" w:type="dxa"/>
            <w:tcBorders>
              <w:top w:val="single" w:color="auto" w:sz="4" w:space="0"/>
            </w:tcBorders>
            <w:vAlign w:val="center"/>
          </w:tcPr>
          <w:p>
            <w:pPr>
              <w:jc w:val="cente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883" w:type="dxa"/>
            <w:tcBorders>
              <w:top w:val="single" w:color="auto" w:sz="4" w:space="0"/>
            </w:tcBorders>
            <w:vAlign w:val="center"/>
          </w:tcPr>
          <w:p>
            <w:pPr>
              <w:jc w:val="center"/>
            </w:pPr>
            <w:r>
              <w:rPr>
                <w:rFonts w:hint="eastAsia"/>
                <w:kern w:val="0"/>
                <w:szCs w:val="21"/>
                <w:lang w:val="en-US" w:eastAsia="zh-CN"/>
              </w:rPr>
              <w:t>0</w:t>
            </w:r>
          </w:p>
        </w:tc>
        <w:tc>
          <w:tcPr>
            <w:tcW w:w="867" w:type="dxa"/>
            <w:tcBorders>
              <w:top w:val="single" w:color="auto" w:sz="4" w:space="0"/>
            </w:tcBorders>
            <w:vAlign w:val="center"/>
          </w:tcPr>
          <w:p>
            <w:pPr>
              <w:jc w:val="center"/>
            </w:pPr>
            <w:r>
              <w:rPr>
                <w:rFonts w:hint="eastAsia"/>
                <w:kern w:val="0"/>
                <w:szCs w:val="21"/>
                <w:lang w:val="en-US" w:eastAsia="zh-CN"/>
              </w:rPr>
              <w:t>0</w:t>
            </w:r>
          </w:p>
        </w:tc>
        <w:tc>
          <w:tcPr>
            <w:tcW w:w="924"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978" w:type="dxa"/>
            <w:tcBorders>
              <w:top w:val="single" w:color="auto" w:sz="4" w:space="0"/>
            </w:tcBorders>
            <w:vAlign w:val="center"/>
          </w:tcPr>
          <w:p>
            <w:pPr>
              <w:jc w:val="cente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883" w:type="dxa"/>
            <w:tcBorders>
              <w:top w:val="single" w:color="auto" w:sz="4" w:space="0"/>
            </w:tcBorders>
            <w:vAlign w:val="center"/>
          </w:tcPr>
          <w:p>
            <w:pPr>
              <w:jc w:val="center"/>
            </w:pPr>
            <w:r>
              <w:rPr>
                <w:rFonts w:hint="eastAsia"/>
                <w:kern w:val="0"/>
                <w:szCs w:val="21"/>
                <w:lang w:val="en-US" w:eastAsia="zh-CN"/>
              </w:rPr>
              <w:t>0</w:t>
            </w:r>
          </w:p>
        </w:tc>
        <w:tc>
          <w:tcPr>
            <w:tcW w:w="867" w:type="dxa"/>
            <w:tcBorders>
              <w:top w:val="single" w:color="auto" w:sz="4" w:space="0"/>
            </w:tcBorders>
            <w:vAlign w:val="center"/>
          </w:tcPr>
          <w:p>
            <w:pPr>
              <w:jc w:val="center"/>
            </w:pPr>
            <w:r>
              <w:rPr>
                <w:rFonts w:hint="eastAsia"/>
                <w:kern w:val="0"/>
                <w:szCs w:val="21"/>
                <w:lang w:val="en-US" w:eastAsia="zh-CN"/>
              </w:rPr>
              <w:t>0</w:t>
            </w:r>
          </w:p>
        </w:tc>
        <w:tc>
          <w:tcPr>
            <w:tcW w:w="924"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1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978" w:type="dxa"/>
            <w:tcBorders>
              <w:top w:val="single" w:color="auto" w:sz="4" w:space="0"/>
            </w:tcBorders>
            <w:vAlign w:val="center"/>
          </w:tcPr>
          <w:p>
            <w:pPr>
              <w:jc w:val="center"/>
            </w:pPr>
            <w:r>
              <w:rPr>
                <w:rFonts w:hint="eastAsia"/>
                <w:kern w:val="0"/>
                <w:szCs w:val="21"/>
                <w:lang w:val="en-US" w:eastAsia="zh-CN"/>
              </w:rPr>
              <w:t>0</w:t>
            </w:r>
          </w:p>
        </w:tc>
        <w:tc>
          <w:tcPr>
            <w:tcW w:w="900" w:type="dxa"/>
            <w:tcBorders>
              <w:top w:val="single" w:color="auto" w:sz="4" w:space="0"/>
            </w:tcBorders>
            <w:vAlign w:val="center"/>
          </w:tcPr>
          <w:p>
            <w:pPr>
              <w:jc w:val="center"/>
            </w:pPr>
            <w:r>
              <w:rPr>
                <w:rFonts w:hint="eastAsia"/>
                <w:kern w:val="0"/>
                <w:szCs w:val="21"/>
                <w:lang w:val="en-US" w:eastAsia="zh-CN"/>
              </w:rPr>
              <w:t>0</w:t>
            </w:r>
          </w:p>
        </w:tc>
        <w:tc>
          <w:tcPr>
            <w:tcW w:w="883" w:type="dxa"/>
            <w:tcBorders>
              <w:top w:val="single" w:color="auto" w:sz="4" w:space="0"/>
            </w:tcBorders>
            <w:vAlign w:val="center"/>
          </w:tcPr>
          <w:p>
            <w:pPr>
              <w:jc w:val="center"/>
            </w:pPr>
            <w:r>
              <w:rPr>
                <w:rFonts w:hint="eastAsia"/>
                <w:kern w:val="0"/>
                <w:szCs w:val="21"/>
                <w:lang w:val="en-US" w:eastAsia="zh-CN"/>
              </w:rPr>
              <w:t>0</w:t>
            </w:r>
          </w:p>
        </w:tc>
        <w:tc>
          <w:tcPr>
            <w:tcW w:w="867" w:type="dxa"/>
            <w:tcBorders>
              <w:top w:val="single" w:color="auto" w:sz="4" w:space="0"/>
            </w:tcBorders>
            <w:vAlign w:val="center"/>
          </w:tcPr>
          <w:p>
            <w:pPr>
              <w:jc w:val="center"/>
            </w:pPr>
            <w:r>
              <w:rPr>
                <w:rFonts w:hint="eastAsia"/>
                <w:kern w:val="0"/>
                <w:szCs w:val="21"/>
                <w:lang w:val="en-US" w:eastAsia="zh-CN"/>
              </w:rPr>
              <w:t>0</w:t>
            </w:r>
          </w:p>
        </w:tc>
        <w:tc>
          <w:tcPr>
            <w:tcW w:w="924" w:type="dxa"/>
            <w:tcBorders>
              <w:top w:val="single" w:color="auto" w:sz="4" w:space="0"/>
            </w:tcBorders>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-0.49%</w:t>
            </w:r>
          </w:p>
        </w:tc>
        <w:tc>
          <w:tcPr>
            <w:tcW w:w="91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18.77%</w:t>
            </w:r>
          </w:p>
        </w:tc>
        <w:tc>
          <w:tcPr>
            <w:tcW w:w="900"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9.39%</w:t>
            </w:r>
          </w:p>
        </w:tc>
        <w:tc>
          <w:tcPr>
            <w:tcW w:w="978"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3.22%</w:t>
            </w:r>
          </w:p>
        </w:tc>
        <w:tc>
          <w:tcPr>
            <w:tcW w:w="900"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-2.11%</w:t>
            </w:r>
          </w:p>
        </w:tc>
        <w:tc>
          <w:tcPr>
            <w:tcW w:w="883"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6.92%</w:t>
            </w:r>
          </w:p>
        </w:tc>
        <w:tc>
          <w:tcPr>
            <w:tcW w:w="867"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5.34%</w:t>
            </w:r>
          </w:p>
        </w:tc>
        <w:tc>
          <w:tcPr>
            <w:tcW w:w="924" w:type="dxa"/>
            <w:tcBorders>
              <w:top w:val="single" w:color="auto" w:sz="4" w:space="0"/>
            </w:tcBorders>
            <w:shd w:val="clear" w:color="auto" w:fill="BEBEBE" w:themeFill="background1" w:themeFillShade="BF"/>
            <w:vAlign w:val="center"/>
          </w:tcPr>
          <w:p>
            <w:pPr>
              <w:jc w:val="center"/>
            </w:pPr>
            <w:r>
              <w:rPr>
                <w:rFonts w:hint="eastAsia"/>
                <w:kern w:val="0"/>
                <w:szCs w:val="21"/>
                <w:lang w:val="en-US" w:eastAsia="zh-CN"/>
              </w:rPr>
              <w:t>8.17%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kern w:val="0"/>
                <w:szCs w:val="21"/>
              </w:rPr>
            </w:pPr>
          </w:p>
        </w:tc>
        <w:tc>
          <w:tcPr>
            <w:tcW w:w="916" w:type="dxa"/>
            <w:tcBorders>
              <w:top w:val="single" w:color="auto" w:sz="4" w:space="0"/>
            </w:tcBorders>
            <w:shd w:val="clear" w:color="auto" w:fill="BEBEBE" w:themeFill="background1" w:themeFillShade="BF"/>
            <w:vAlign w:val="center"/>
          </w:tcPr>
          <w:p>
            <w:pPr>
              <w:jc w:val="center"/>
              <w:rPr>
                <w:kern w:val="0"/>
                <w:szCs w:val="21"/>
              </w:rPr>
            </w:pPr>
          </w:p>
        </w:tc>
        <w:tc>
          <w:tcPr>
            <w:tcW w:w="900" w:type="dxa"/>
            <w:tcBorders>
              <w:top w:val="single" w:color="auto" w:sz="4" w:space="0"/>
            </w:tcBorders>
            <w:shd w:val="clear" w:color="auto" w:fill="BEBEBE" w:themeFill="background1" w:themeFillShade="BF"/>
            <w:vAlign w:val="center"/>
          </w:tcPr>
          <w:p>
            <w:pPr>
              <w:jc w:val="center"/>
            </w:pPr>
          </w:p>
        </w:tc>
        <w:tc>
          <w:tcPr>
            <w:tcW w:w="978" w:type="dxa"/>
            <w:tcBorders>
              <w:top w:val="single" w:color="auto" w:sz="4" w:space="0"/>
            </w:tcBorders>
            <w:shd w:val="clear" w:color="auto" w:fill="BEBEBE" w:themeFill="background1" w:themeFillShade="BF"/>
            <w:vAlign w:val="center"/>
          </w:tcPr>
          <w:p>
            <w:pPr>
              <w:jc w:val="center"/>
            </w:pPr>
          </w:p>
        </w:tc>
        <w:tc>
          <w:tcPr>
            <w:tcW w:w="900" w:type="dxa"/>
            <w:tcBorders>
              <w:top w:val="single" w:color="auto" w:sz="4" w:space="0"/>
            </w:tcBorders>
            <w:shd w:val="clear" w:color="auto" w:fill="BEBEBE" w:themeFill="background1" w:themeFillShade="BF"/>
            <w:vAlign w:val="center"/>
          </w:tcPr>
          <w:p>
            <w:pPr>
              <w:jc w:val="center"/>
            </w:pPr>
          </w:p>
        </w:tc>
        <w:tc>
          <w:tcPr>
            <w:tcW w:w="883" w:type="dxa"/>
            <w:tcBorders>
              <w:top w:val="single" w:color="auto" w:sz="4" w:space="0"/>
            </w:tcBorders>
            <w:shd w:val="clear" w:color="auto" w:fill="BEBEBE" w:themeFill="background1" w:themeFillShade="BF"/>
            <w:vAlign w:val="center"/>
          </w:tcPr>
          <w:p>
            <w:pPr>
              <w:jc w:val="center"/>
            </w:pPr>
          </w:p>
        </w:tc>
        <w:tc>
          <w:tcPr>
            <w:tcW w:w="867" w:type="dxa"/>
            <w:tcBorders>
              <w:top w:val="single" w:color="auto" w:sz="4" w:space="0"/>
            </w:tcBorders>
            <w:shd w:val="clear" w:color="auto" w:fill="BEBEBE" w:themeFill="background1" w:themeFillShade="BF"/>
            <w:vAlign w:val="center"/>
          </w:tcPr>
          <w:p>
            <w:pPr>
              <w:jc w:val="center"/>
            </w:pPr>
          </w:p>
        </w:tc>
        <w:tc>
          <w:tcPr>
            <w:tcW w:w="924" w:type="dxa"/>
            <w:tcBorders>
              <w:top w:val="single" w:color="auto" w:sz="4" w:space="0"/>
            </w:tcBorders>
            <w:shd w:val="clear" w:color="auto" w:fill="BEBEBE" w:themeFill="background1" w:themeFillShade="BF"/>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1</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1</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lang w:val="en-US" w:eastAsia="zh-CN"/>
              </w:rPr>
            </w:pPr>
            <w:r>
              <w:rPr>
                <w:rFonts w:hint="eastAsia"/>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kern w:val="0"/>
              </w:rPr>
            </w:pPr>
          </w:p>
        </w:tc>
        <w:tc>
          <w:tcPr>
            <w:tcW w:w="916" w:type="dxa"/>
            <w:tcBorders>
              <w:top w:val="single" w:color="auto" w:sz="4" w:space="0"/>
            </w:tcBorders>
            <w:shd w:val="clear" w:color="auto" w:fill="BEBEBE" w:themeFill="background1" w:themeFillShade="BF"/>
            <w:vAlign w:val="center"/>
          </w:tcPr>
          <w:p>
            <w:pPr>
              <w:jc w:val="center"/>
              <w:rPr>
                <w:kern w:val="0"/>
              </w:rPr>
            </w:pPr>
          </w:p>
        </w:tc>
        <w:tc>
          <w:tcPr>
            <w:tcW w:w="900" w:type="dxa"/>
          </w:tcPr>
          <w:p/>
        </w:tc>
        <w:tc>
          <w:tcPr>
            <w:tcW w:w="978" w:type="dxa"/>
          </w:tcPr>
          <w:p/>
        </w:tc>
        <w:tc>
          <w:tcPr>
            <w:tcW w:w="900" w:type="dxa"/>
          </w:tcPr>
          <w:p/>
        </w:tc>
        <w:tc>
          <w:tcPr>
            <w:tcW w:w="883" w:type="dxa"/>
          </w:tcPr>
          <w:p/>
        </w:tc>
        <w:tc>
          <w:tcPr>
            <w:tcW w:w="867" w:type="dxa"/>
          </w:tcPr>
          <w:p/>
        </w:tc>
        <w:tc>
          <w:tcPr>
            <w:tcW w:w="924" w:type="dxa"/>
          </w:tcPr>
          <w:p/>
        </w:tc>
      </w:tr>
    </w:tbl>
    <w:p>
      <w:pPr>
        <w:rPr>
          <w:kern w:val="0"/>
          <w:sz w:val="44"/>
        </w:rPr>
      </w:pPr>
    </w:p>
    <w:p>
      <w:pPr>
        <w:pStyle w:val="2"/>
        <w:numPr>
          <w:ilvl w:val="0"/>
          <w:numId w:val="7"/>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11月份学生工作月行事历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11—14周</w:t>
      </w:r>
      <w:r>
        <w:rPr>
          <w:rStyle w:val="9"/>
          <w:rFonts w:hint="eastAsia" w:ascii="宋体" w:hAnsi="宋体" w:cs="宋体"/>
          <w:b/>
          <w:color w:val="auto"/>
          <w:kern w:val="0"/>
          <w:sz w:val="24"/>
          <w:shd w:val="clear" w:color="auto" w:fill="FFFFFF"/>
          <w:lang w:eastAsia="zh-CN"/>
        </w:rPr>
        <w:t>）</w:t>
      </w:r>
    </w:p>
    <w:p>
      <w:pPr>
        <w:widowControl/>
        <w:numPr>
          <w:numId w:val="0"/>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lang w:val="en-US" w:eastAsia="zh-CN"/>
        </w:rPr>
        <w:t>1、</w:t>
      </w:r>
      <w:r>
        <w:rPr>
          <w:rFonts w:hint="eastAsia" w:ascii="宋体" w:hAnsi="宋体" w:cs="宋体"/>
          <w:b/>
          <w:bCs/>
          <w:color w:val="333333"/>
          <w:kern w:val="0"/>
          <w:szCs w:val="21"/>
          <w:shd w:val="clear" w:color="auto" w:fill="FFFFFF"/>
        </w:rPr>
        <w:t>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）维护</w:t>
      </w:r>
      <w:r>
        <w:rPr>
          <w:rFonts w:hint="eastAsia" w:ascii="宋体" w:hAnsi="宋体" w:cs="宋体"/>
          <w:color w:val="auto"/>
          <w:kern w:val="0"/>
          <w:szCs w:val="21"/>
          <w:shd w:val="clear" w:color="auto" w:fill="FFFFFF"/>
        </w:rPr>
        <w:t>学工信息平台考勤等日常管理的使用；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校园文明督察等常规工作；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思想动态、安稳报表、单位矛盾纠纷排查调处情况表；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）各项评优工作和</w:t>
      </w:r>
      <w:r>
        <w:rPr>
          <w:rFonts w:hint="eastAsia" w:ascii="宋体" w:hAnsi="宋体" w:cs="宋体"/>
          <w:color w:val="auto"/>
          <w:kern w:val="0"/>
          <w:szCs w:val="21"/>
          <w:shd w:val="clear" w:color="auto" w:fill="FFFFFF"/>
        </w:rPr>
        <w:t>奖学金发放工作；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学生工作信息平台建设；</w:t>
      </w:r>
    </w:p>
    <w:p>
      <w:pPr>
        <w:widowControl/>
        <w:numPr>
          <w:ilvl w:val="0"/>
          <w:numId w:val="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p>
    <w:p>
      <w:pPr>
        <w:widowControl/>
        <w:numPr>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党风廉政建设月系列活动；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2016年班级风采展示周启动仪式暨标兵班集体经验分享会；</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2015~2016学年班级建设表彰大会暨2016级班级规划大赛；</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编辑汇编《2016年班级建设成果集》；</w:t>
      </w:r>
    </w:p>
    <w:p>
      <w:pPr>
        <w:widowControl/>
        <w:numPr>
          <w:numId w:val="0"/>
        </w:numPr>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3、</w:t>
      </w:r>
      <w:r>
        <w:rPr>
          <w:rFonts w:hint="eastAsia" w:ascii="宋体" w:hAnsi="宋体" w:cs="宋体"/>
          <w:b/>
          <w:bCs/>
          <w:color w:val="000000" w:themeColor="text1"/>
          <w:kern w:val="0"/>
          <w:szCs w:val="21"/>
          <w:shd w:val="clear" w:color="auto" w:fill="FFFFFF"/>
          <w14:textFill>
            <w14:solidFill>
              <w14:schemeClr w14:val="tx1"/>
            </w14:solidFill>
          </w14:textFill>
        </w:rPr>
        <w:t>素质教育</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素拓之星表彰工作 ；</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举办两期大擂台活动；</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大礼堂日常管理，完成各项任务（廉政情景剧，校职工和校学生元旦晚会、社联晚会、校学生会晚会、各二级学院晚会等）</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积极筹备校元旦晚会。</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“两团两队”日常管理工作</w:t>
      </w:r>
    </w:p>
    <w:p>
      <w:pPr>
        <w:widowControl/>
        <w:numPr>
          <w:ilvl w:val="0"/>
          <w:numId w:val="0"/>
        </w:numPr>
        <w:shd w:val="clear" w:color="auto" w:fill="FFFFFF"/>
        <w:spacing w:line="360" w:lineRule="exact"/>
        <w:jc w:val="left"/>
        <w:rPr>
          <w:rFonts w:hint="eastAsia" w:ascii="宋体" w:hAnsi="宋体" w:cs="宋体"/>
          <w:color w:val="FF0000"/>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校乐队排练工作</w:t>
      </w:r>
    </w:p>
    <w:p>
      <w:pPr>
        <w:widowControl/>
        <w:numPr>
          <w:ilvl w:val="0"/>
          <w:numId w:val="16"/>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电气学院和船舶学院共12个班公益实训课。</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11月份勤工助学工资发放。</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国家开发银行贷款缴费收据发放及贷款退费。</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建档立卡学生信息月报。</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高校学生资助情况统计月报。</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2017年秋季学期中职资助卡办理。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2017年秋季学期中职资助系统数据维护。</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办理国家奖助学金资助卡。</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发放</w:t>
      </w:r>
      <w:r>
        <w:rPr>
          <w:rFonts w:hint="eastAsia" w:ascii="宋体" w:hAnsi="宋体" w:cs="宋体"/>
          <w:color w:val="auto"/>
          <w:kern w:val="0"/>
          <w:szCs w:val="21"/>
          <w:shd w:val="clear" w:color="auto" w:fill="FFFFFF"/>
          <w:lang w:val="en-US" w:eastAsia="zh-CN"/>
        </w:rPr>
        <w:t>2016-2017学年国家奖学金、国家励志奖学金。</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配合财务部门为</w:t>
      </w:r>
      <w:r>
        <w:rPr>
          <w:rFonts w:hint="eastAsia" w:ascii="宋体" w:hAnsi="宋体" w:cs="宋体"/>
          <w:color w:val="auto"/>
          <w:kern w:val="0"/>
          <w:szCs w:val="21"/>
          <w:shd w:val="clear" w:color="auto" w:fill="FFFFFF"/>
          <w:lang w:val="en-US" w:eastAsia="zh-CN"/>
        </w:rPr>
        <w:t>2017年退役复学学生交纳学费。</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梳理、汇总、归档</w:t>
      </w:r>
      <w:r>
        <w:rPr>
          <w:rFonts w:hint="eastAsia" w:ascii="宋体" w:hAnsi="宋体" w:cs="宋体"/>
          <w:color w:val="auto"/>
          <w:kern w:val="0"/>
          <w:szCs w:val="21"/>
          <w:shd w:val="clear" w:color="auto" w:fill="FFFFFF"/>
          <w:lang w:val="en-US" w:eastAsia="zh-CN"/>
        </w:rPr>
        <w:t>2017-2018学年国家助学金材料。</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val="en-US" w:eastAsia="zh-CN"/>
        </w:rPr>
        <w:t>发放2017-2018学年国家助学金。</w:t>
      </w:r>
    </w:p>
    <w:p>
      <w:pPr>
        <w:widowControl/>
        <w:numPr>
          <w:ilvl w:val="0"/>
          <w:numId w:val="17"/>
        </w:numPr>
        <w:shd w:val="clear" w:color="auto" w:fill="FFFFFF"/>
        <w:spacing w:line="360" w:lineRule="exact"/>
        <w:ind w:left="425" w:leftChars="0" w:hanging="425" w:firstLineChars="0"/>
        <w:jc w:val="left"/>
        <w:rPr>
          <w:rFonts w:hint="eastAsia" w:ascii="宋体" w:hAnsi="宋体" w:cs="宋体"/>
          <w:b/>
          <w:bCs/>
          <w:color w:val="auto"/>
          <w:kern w:val="0"/>
          <w:szCs w:val="21"/>
          <w:shd w:val="clear" w:color="auto" w:fill="FFFFFF"/>
        </w:rPr>
      </w:pPr>
      <w:r>
        <w:rPr>
          <w:rFonts w:hint="eastAsia" w:ascii="宋体" w:hAnsi="宋体" w:cs="宋体"/>
          <w:color w:val="auto"/>
          <w:kern w:val="0"/>
          <w:szCs w:val="21"/>
          <w:shd w:val="clear" w:color="auto" w:fill="FFFFFF"/>
          <w:lang w:eastAsia="zh-CN"/>
        </w:rPr>
        <w:t>收集、审核《</w:t>
      </w:r>
      <w:r>
        <w:rPr>
          <w:rFonts w:hint="eastAsia" w:ascii="宋体" w:hAnsi="宋体" w:cs="宋体"/>
          <w:color w:val="auto"/>
          <w:kern w:val="0"/>
          <w:szCs w:val="21"/>
          <w:shd w:val="clear" w:color="auto" w:fill="FFFFFF"/>
        </w:rPr>
        <w:t>应征入伍国家资助申请表学费</w:t>
      </w:r>
      <w:r>
        <w:rPr>
          <w:rFonts w:hint="eastAsia" w:ascii="宋体" w:hAnsi="宋体" w:cs="宋体"/>
          <w:color w:val="auto"/>
          <w:kern w:val="0"/>
          <w:szCs w:val="21"/>
          <w:shd w:val="clear" w:color="auto" w:fill="FFFFFF"/>
          <w:lang w:eastAsia="zh-CN"/>
        </w:rPr>
        <w:t>》申请表。</w:t>
      </w:r>
    </w:p>
    <w:p>
      <w:pPr>
        <w:widowControl/>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熟悉、完善学生工作办公系统公寓管理部分；</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常规寝室</w:t>
      </w:r>
      <w:r>
        <w:rPr>
          <w:rFonts w:hint="eastAsia" w:ascii="宋体" w:hAnsi="宋体" w:cs="宋体"/>
          <w:color w:val="auto"/>
          <w:kern w:val="0"/>
          <w:szCs w:val="21"/>
          <w:shd w:val="clear" w:color="auto" w:fill="FFFFFF"/>
        </w:rPr>
        <w:t>检查；</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保安值班员工作质量检查；</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冬季防火安全教育及检查；</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运动会期间加强学生公寓管理；</w:t>
      </w:r>
    </w:p>
    <w:p>
      <w:pPr>
        <w:widowControl/>
        <w:numPr>
          <w:ilvl w:val="0"/>
          <w:numId w:val="1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美丽</w:t>
      </w:r>
      <w:r>
        <w:rPr>
          <w:rFonts w:hint="eastAsia" w:ascii="宋体" w:hAnsi="宋体" w:cs="宋体"/>
          <w:color w:val="auto"/>
          <w:kern w:val="0"/>
          <w:szCs w:val="21"/>
          <w:shd w:val="clear" w:color="auto" w:fill="FFFFFF"/>
        </w:rPr>
        <w:t>寝室</w:t>
      </w:r>
      <w:r>
        <w:rPr>
          <w:rFonts w:hint="eastAsia" w:ascii="宋体" w:hAnsi="宋体" w:cs="宋体"/>
          <w:color w:val="auto"/>
          <w:kern w:val="0"/>
          <w:szCs w:val="21"/>
          <w:shd w:val="clear" w:color="auto" w:fill="FFFFFF"/>
          <w:lang w:eastAsia="zh-CN"/>
        </w:rPr>
        <w:t>建设</w:t>
      </w:r>
      <w:r>
        <w:rPr>
          <w:rFonts w:hint="eastAsia" w:ascii="宋体" w:hAnsi="宋体" w:cs="宋体"/>
          <w:color w:val="auto"/>
          <w:kern w:val="0"/>
          <w:szCs w:val="21"/>
          <w:shd w:val="clear" w:color="auto" w:fill="FFFFFF"/>
        </w:rPr>
        <w:t>；</w:t>
      </w:r>
    </w:p>
    <w:p>
      <w:pPr>
        <w:widowControl/>
        <w:numPr>
          <w:ilvl w:val="0"/>
          <w:numId w:val="19"/>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）高等职业院校人才培养工作状态数据采集与管理系统部门负责数据的收集、整理、上报。</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）梳理学工平台内二级学院管理员权限，原则上二级学院只设一个总管理员。</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）督促二级学院加强学生系统内个人信息数据的完整性，便于数据对接和数据采集。</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）学工平台日常维护</w:t>
      </w:r>
      <w:r>
        <w:rPr>
          <w:rFonts w:hint="eastAsia" w:ascii="宋体" w:hAnsi="宋体" w:cs="宋体"/>
          <w:b/>
          <w:bCs/>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hint="eastAsia" w:ascii="宋体" w:hAnsi="宋体" w:eastAsia="宋体" w:cs="宋体"/>
          <w:b/>
          <w:bCs/>
          <w:color w:val="FF0000"/>
          <w:kern w:val="0"/>
          <w:szCs w:val="21"/>
          <w:shd w:val="clear" w:color="auto" w:fill="FFFFFF"/>
          <w:lang w:eastAsia="zh-CN"/>
        </w:rPr>
      </w:pPr>
    </w:p>
    <w:p>
      <w:pPr>
        <w:widowControl/>
        <w:numPr>
          <w:ilvl w:val="0"/>
          <w:numId w:val="0"/>
        </w:numPr>
        <w:shd w:val="clear" w:color="auto" w:fill="FFFFFF"/>
        <w:spacing w:line="360" w:lineRule="exact"/>
        <w:jc w:val="left"/>
        <w:rPr>
          <w:rFonts w:hint="eastAsia" w:ascii="宋体" w:hAnsi="宋体" w:cs="宋体"/>
          <w:color w:val="FF0000"/>
          <w:kern w:val="0"/>
          <w:szCs w:val="21"/>
          <w:shd w:val="clear" w:color="auto" w:fill="FFFFFF"/>
          <w:lang w:eastAsia="zh-CN"/>
        </w:rPr>
      </w:pPr>
    </w:p>
    <w:p>
      <w:pPr>
        <w:widowControl/>
        <w:numPr>
          <w:ilvl w:val="0"/>
          <w:numId w:val="0"/>
        </w:numPr>
        <w:shd w:val="clear" w:color="auto" w:fill="FFFFFF"/>
        <w:spacing w:before="156" w:beforeLines="50" w:after="156" w:afterLines="50"/>
        <w:jc w:val="left"/>
        <w:rPr>
          <w:rFonts w:hint="eastAsia" w:ascii="宋体" w:hAnsi="宋体" w:cs="宋体"/>
          <w:b/>
          <w:bCs/>
          <w:color w:val="FF0000"/>
          <w:kern w:val="0"/>
          <w:szCs w:val="21"/>
          <w:shd w:val="clear" w:color="auto" w:fill="FFFFFF"/>
          <w:lang w:eastAsia="zh-CN"/>
        </w:rPr>
      </w:pPr>
    </w:p>
    <w:p>
      <w:pPr>
        <w:widowControl/>
        <w:numPr>
          <w:ilvl w:val="0"/>
          <w:numId w:val="0"/>
        </w:numPr>
        <w:shd w:val="clear" w:color="auto" w:fill="FFFFFF"/>
        <w:spacing w:before="156" w:beforeLines="50" w:after="156" w:afterLines="50"/>
        <w:jc w:val="left"/>
        <w:rPr>
          <w:rFonts w:hint="eastAsia" w:ascii="宋体" w:hAnsi="宋体" w:cs="宋体"/>
          <w:b/>
          <w:bCs/>
          <w:color w:val="FF0000"/>
          <w:kern w:val="0"/>
          <w:szCs w:val="21"/>
          <w:shd w:val="clear" w:color="auto" w:fill="FFFFFF"/>
          <w:lang w:eastAsia="zh-CN"/>
        </w:rPr>
      </w:pPr>
    </w:p>
    <w:p>
      <w:pPr>
        <w:widowControl/>
        <w:numPr>
          <w:ilvl w:val="0"/>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隶书">
    <w:altName w:val="微软雅黑"/>
    <w:panose1 w:val="02010509060101010101"/>
    <w:charset w:val="86"/>
    <w:family w:val="auto"/>
    <w:pitch w:val="default"/>
    <w:sig w:usb0="00000000" w:usb1="00000000" w:usb2="00000000" w:usb3="00000000" w:csb0="00040000" w:csb1="00000000"/>
  </w:font>
  <w:font w:name="Copperplate Gothic Bold">
    <w:altName w:val="Segoe Print"/>
    <w:panose1 w:val="020E0705020206020404"/>
    <w:charset w:val="00"/>
    <w:family w:val="auto"/>
    <w:pitch w:val="default"/>
    <w:sig w:usb0="00000000"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方正舒体">
    <w:altName w:val="宋体"/>
    <w:panose1 w:val="02010601030101010101"/>
    <w:charset w:val="86"/>
    <w:family w:val="auto"/>
    <w:pitch w:val="default"/>
    <w:sig w:usb0="00000000" w:usb1="00000000" w:usb2="00000000" w:usb3="00000000" w:csb0="00040000" w:csb1="00000000"/>
  </w:font>
  <w:font w:name="Calibri Light">
    <w:altName w:val="Calibri"/>
    <w:panose1 w:val="020F0302020204030204"/>
    <w:charset w:val="00"/>
    <w:family w:val="auto"/>
    <w:pitch w:val="default"/>
    <w:sig w:usb0="00000000" w:usb1="00000000" w:usb2="00000000" w:usb3="00000000" w:csb0="2000019F" w:csb1="0000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B7B26"/>
    <w:multiLevelType w:val="singleLevel"/>
    <w:tmpl w:val="56FB7B26"/>
    <w:lvl w:ilvl="0" w:tentative="0">
      <w:start w:val="1"/>
      <w:numFmt w:val="chineseCounting"/>
      <w:suff w:val="nothing"/>
      <w:lvlText w:val="（%1）"/>
      <w:lvlJc w:val="left"/>
      <w:rPr>
        <w:b/>
      </w:rPr>
    </w:lvl>
  </w:abstractNum>
  <w:abstractNum w:abstractNumId="1">
    <w:nsid w:val="56FB7E3D"/>
    <w:multiLevelType w:val="singleLevel"/>
    <w:tmpl w:val="56FB7E3D"/>
    <w:lvl w:ilvl="0" w:tentative="0">
      <w:start w:val="1"/>
      <w:numFmt w:val="decimal"/>
      <w:suff w:val="nothing"/>
      <w:lvlText w:val="%1、"/>
      <w:lvlJc w:val="left"/>
      <w:rPr>
        <w:rFonts w:cs="Times New Roman"/>
      </w:rPr>
    </w:lvl>
  </w:abstractNum>
  <w:abstractNum w:abstractNumId="2">
    <w:nsid w:val="56FB8143"/>
    <w:multiLevelType w:val="singleLevel"/>
    <w:tmpl w:val="56FB8143"/>
    <w:lvl w:ilvl="0" w:tentative="0">
      <w:start w:val="1"/>
      <w:numFmt w:val="chineseCounting"/>
      <w:suff w:val="nothing"/>
      <w:lvlText w:val="（%1）"/>
      <w:lvlJc w:val="left"/>
    </w:lvl>
  </w:abstractNum>
  <w:abstractNum w:abstractNumId="3">
    <w:nsid w:val="56FC83E5"/>
    <w:multiLevelType w:val="singleLevel"/>
    <w:tmpl w:val="56FC83E5"/>
    <w:lvl w:ilvl="0" w:tentative="0">
      <w:start w:val="1"/>
      <w:numFmt w:val="decimal"/>
      <w:suff w:val="nothing"/>
      <w:lvlText w:val="%1、"/>
      <w:lvlJc w:val="left"/>
    </w:lvl>
  </w:abstractNum>
  <w:abstractNum w:abstractNumId="4">
    <w:nsid w:val="56FC849B"/>
    <w:multiLevelType w:val="singleLevel"/>
    <w:tmpl w:val="56FC849B"/>
    <w:lvl w:ilvl="0" w:tentative="0">
      <w:start w:val="2"/>
      <w:numFmt w:val="decimal"/>
      <w:suff w:val="nothing"/>
      <w:lvlText w:val="%1、"/>
      <w:lvlJc w:val="left"/>
    </w:lvl>
  </w:abstractNum>
  <w:abstractNum w:abstractNumId="5">
    <w:nsid w:val="56FC84D6"/>
    <w:multiLevelType w:val="singleLevel"/>
    <w:tmpl w:val="56FC84D6"/>
    <w:lvl w:ilvl="0" w:tentative="0">
      <w:start w:val="1"/>
      <w:numFmt w:val="decimal"/>
      <w:suff w:val="nothing"/>
      <w:lvlText w:val="（%1）"/>
      <w:lvlJc w:val="left"/>
    </w:lvl>
  </w:abstractNum>
  <w:abstractNum w:abstractNumId="6">
    <w:nsid w:val="56FC8503"/>
    <w:multiLevelType w:val="singleLevel"/>
    <w:tmpl w:val="56FC8503"/>
    <w:lvl w:ilvl="0" w:tentative="0">
      <w:start w:val="3"/>
      <w:numFmt w:val="decimal"/>
      <w:suff w:val="nothing"/>
      <w:lvlText w:val="%1、"/>
      <w:lvlJc w:val="left"/>
    </w:lvl>
  </w:abstractNum>
  <w:abstractNum w:abstractNumId="7">
    <w:nsid w:val="56FC8572"/>
    <w:multiLevelType w:val="singleLevel"/>
    <w:tmpl w:val="56FC8572"/>
    <w:lvl w:ilvl="0" w:tentative="0">
      <w:start w:val="1"/>
      <w:numFmt w:val="decimal"/>
      <w:suff w:val="nothing"/>
      <w:lvlText w:val="（%1）"/>
      <w:lvlJc w:val="left"/>
    </w:lvl>
  </w:abstractNum>
  <w:abstractNum w:abstractNumId="8">
    <w:nsid w:val="56FC859A"/>
    <w:multiLevelType w:val="singleLevel"/>
    <w:tmpl w:val="56FC859A"/>
    <w:lvl w:ilvl="0" w:tentative="0">
      <w:start w:val="1"/>
      <w:numFmt w:val="decimal"/>
      <w:suff w:val="nothing"/>
      <w:lvlText w:val="（%1）"/>
      <w:lvlJc w:val="left"/>
    </w:lvl>
  </w:abstractNum>
  <w:abstractNum w:abstractNumId="9">
    <w:nsid w:val="56FC861A"/>
    <w:multiLevelType w:val="singleLevel"/>
    <w:tmpl w:val="56FC861A"/>
    <w:lvl w:ilvl="0" w:tentative="0">
      <w:start w:val="1"/>
      <w:numFmt w:val="decimal"/>
      <w:suff w:val="nothing"/>
      <w:lvlText w:val="（%1）"/>
      <w:lvlJc w:val="left"/>
    </w:lvl>
  </w:abstractNum>
  <w:abstractNum w:abstractNumId="10">
    <w:nsid w:val="56FC86A0"/>
    <w:multiLevelType w:val="singleLevel"/>
    <w:tmpl w:val="56FC86A0"/>
    <w:lvl w:ilvl="0" w:tentative="0">
      <w:start w:val="1"/>
      <w:numFmt w:val="decimal"/>
      <w:suff w:val="nothing"/>
      <w:lvlText w:val="（%1）"/>
      <w:lvlJc w:val="left"/>
    </w:lvl>
  </w:abstractNum>
  <w:abstractNum w:abstractNumId="11">
    <w:nsid w:val="57FEFD16"/>
    <w:multiLevelType w:val="singleLevel"/>
    <w:tmpl w:val="57FEFD16"/>
    <w:lvl w:ilvl="0" w:tentative="0">
      <w:start w:val="1"/>
      <w:numFmt w:val="decimal"/>
      <w:lvlText w:val="%1."/>
      <w:lvlJc w:val="left"/>
      <w:pPr>
        <w:ind w:left="425" w:hanging="425"/>
      </w:pPr>
      <w:rPr>
        <w:rFonts w:hint="default"/>
      </w:rPr>
    </w:lvl>
  </w:abstractNum>
  <w:abstractNum w:abstractNumId="12">
    <w:nsid w:val="57FF02A7"/>
    <w:multiLevelType w:val="singleLevel"/>
    <w:tmpl w:val="57FF02A7"/>
    <w:lvl w:ilvl="0" w:tentative="0">
      <w:start w:val="2"/>
      <w:numFmt w:val="chineseCounting"/>
      <w:suff w:val="nothing"/>
      <w:lvlText w:val="（%1）"/>
      <w:lvlJc w:val="left"/>
    </w:lvl>
  </w:abstractNum>
  <w:abstractNum w:abstractNumId="13">
    <w:nsid w:val="57FF02B8"/>
    <w:multiLevelType w:val="singleLevel"/>
    <w:tmpl w:val="57FF02B8"/>
    <w:lvl w:ilvl="0" w:tentative="0">
      <w:start w:val="1"/>
      <w:numFmt w:val="decimal"/>
      <w:lvlText w:val="%1."/>
      <w:lvlJc w:val="left"/>
      <w:pPr>
        <w:ind w:left="425" w:hanging="425"/>
      </w:pPr>
      <w:rPr>
        <w:rFonts w:hint="default"/>
      </w:rPr>
    </w:lvl>
  </w:abstractNum>
  <w:abstractNum w:abstractNumId="14">
    <w:nsid w:val="59F13282"/>
    <w:multiLevelType w:val="singleLevel"/>
    <w:tmpl w:val="59F13282"/>
    <w:lvl w:ilvl="0" w:tentative="0">
      <w:start w:val="4"/>
      <w:numFmt w:val="decimal"/>
      <w:suff w:val="nothing"/>
      <w:lvlText w:val="%1、"/>
      <w:lvlJc w:val="left"/>
    </w:lvl>
  </w:abstractNum>
  <w:abstractNum w:abstractNumId="15">
    <w:nsid w:val="5A0C003F"/>
    <w:multiLevelType w:val="singleLevel"/>
    <w:tmpl w:val="5A0C003F"/>
    <w:lvl w:ilvl="0" w:tentative="0">
      <w:start w:val="1"/>
      <w:numFmt w:val="decimal"/>
      <w:suff w:val="nothing"/>
      <w:lvlText w:val="%1、"/>
      <w:lvlJc w:val="left"/>
    </w:lvl>
  </w:abstractNum>
  <w:abstractNum w:abstractNumId="16">
    <w:nsid w:val="5A128C8C"/>
    <w:multiLevelType w:val="singleLevel"/>
    <w:tmpl w:val="5A128C8C"/>
    <w:lvl w:ilvl="0" w:tentative="0">
      <w:start w:val="6"/>
      <w:numFmt w:val="decimal"/>
      <w:suff w:val="nothing"/>
      <w:lvlText w:val="%1、"/>
      <w:lvlJc w:val="left"/>
    </w:lvl>
  </w:abstractNum>
  <w:abstractNum w:abstractNumId="17">
    <w:nsid w:val="5A12CD7F"/>
    <w:multiLevelType w:val="singleLevel"/>
    <w:tmpl w:val="5A12CD7F"/>
    <w:lvl w:ilvl="0" w:tentative="0">
      <w:start w:val="4"/>
      <w:numFmt w:val="decimal"/>
      <w:suff w:val="nothing"/>
      <w:lvlText w:val="%1、"/>
      <w:lvlJc w:val="left"/>
    </w:lvl>
  </w:abstractNum>
  <w:abstractNum w:abstractNumId="18">
    <w:nsid w:val="5A12CE41"/>
    <w:multiLevelType w:val="singleLevel"/>
    <w:tmpl w:val="5A12CE41"/>
    <w:lvl w:ilvl="0" w:tentative="0">
      <w:start w:val="1"/>
      <w:numFmt w:val="decimal"/>
      <w:lvlText w:val="(%1)"/>
      <w:lvlJc w:val="left"/>
      <w:pPr>
        <w:ind w:left="425" w:hanging="425"/>
      </w:pPr>
      <w:rPr>
        <w:rFonts w:hint="default"/>
      </w:rPr>
    </w:lvl>
  </w:abstractNum>
  <w:num w:numId="1">
    <w:abstractNumId w:val="1"/>
  </w:num>
  <w:num w:numId="2">
    <w:abstractNumId w:val="15"/>
  </w:num>
  <w:num w:numId="3">
    <w:abstractNumId w:val="11"/>
  </w:num>
  <w:num w:numId="4">
    <w:abstractNumId w:val="12"/>
  </w:num>
  <w:num w:numId="5">
    <w:abstractNumId w:val="13"/>
  </w:num>
  <w:num w:numId="6">
    <w:abstractNumId w:val="0"/>
  </w:num>
  <w:num w:numId="7">
    <w:abstractNumId w:val="2"/>
  </w:num>
  <w:num w:numId="8">
    <w:abstractNumId w:val="3"/>
  </w:num>
  <w:num w:numId="9">
    <w:abstractNumId w:val="10"/>
  </w:num>
  <w:num w:numId="10">
    <w:abstractNumId w:val="4"/>
  </w:num>
  <w:num w:numId="11">
    <w:abstractNumId w:val="5"/>
  </w:num>
  <w:num w:numId="12">
    <w:abstractNumId w:val="6"/>
  </w:num>
  <w:num w:numId="13">
    <w:abstractNumId w:val="7"/>
  </w:num>
  <w:num w:numId="14">
    <w:abstractNumId w:val="14"/>
  </w:num>
  <w:num w:numId="15">
    <w:abstractNumId w:val="8"/>
  </w:num>
  <w:num w:numId="16">
    <w:abstractNumId w:val="17"/>
  </w:num>
  <w:num w:numId="17">
    <w:abstractNumId w:val="18"/>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3E22"/>
    <w:rsid w:val="00F770F6"/>
    <w:rsid w:val="00F812B1"/>
    <w:rsid w:val="00F901FD"/>
    <w:rsid w:val="02666F01"/>
    <w:rsid w:val="027C5C47"/>
    <w:rsid w:val="031273D2"/>
    <w:rsid w:val="03245946"/>
    <w:rsid w:val="03590B80"/>
    <w:rsid w:val="040302C9"/>
    <w:rsid w:val="04B85D78"/>
    <w:rsid w:val="04C87066"/>
    <w:rsid w:val="05087E50"/>
    <w:rsid w:val="055414B8"/>
    <w:rsid w:val="05CA3F4E"/>
    <w:rsid w:val="060460ED"/>
    <w:rsid w:val="066D0A5C"/>
    <w:rsid w:val="06AB2A7F"/>
    <w:rsid w:val="0735159C"/>
    <w:rsid w:val="076367EB"/>
    <w:rsid w:val="07D25ED1"/>
    <w:rsid w:val="08991334"/>
    <w:rsid w:val="09AF551C"/>
    <w:rsid w:val="0A2A393B"/>
    <w:rsid w:val="0A5D79F0"/>
    <w:rsid w:val="0A941004"/>
    <w:rsid w:val="0AD84D58"/>
    <w:rsid w:val="0B8F594D"/>
    <w:rsid w:val="0C5E1C92"/>
    <w:rsid w:val="0DF31EC6"/>
    <w:rsid w:val="0E3015D7"/>
    <w:rsid w:val="0E4C1E01"/>
    <w:rsid w:val="0E641448"/>
    <w:rsid w:val="0E857840"/>
    <w:rsid w:val="0F565B36"/>
    <w:rsid w:val="0F580691"/>
    <w:rsid w:val="11320758"/>
    <w:rsid w:val="121733F4"/>
    <w:rsid w:val="13124910"/>
    <w:rsid w:val="13B22D50"/>
    <w:rsid w:val="13BA419D"/>
    <w:rsid w:val="14A35CE8"/>
    <w:rsid w:val="158717DE"/>
    <w:rsid w:val="15D807FA"/>
    <w:rsid w:val="15DB2243"/>
    <w:rsid w:val="160C079D"/>
    <w:rsid w:val="169606F7"/>
    <w:rsid w:val="169D7188"/>
    <w:rsid w:val="16B3025E"/>
    <w:rsid w:val="16D45DBF"/>
    <w:rsid w:val="170E4693"/>
    <w:rsid w:val="17637C2B"/>
    <w:rsid w:val="18A50B9A"/>
    <w:rsid w:val="194D173D"/>
    <w:rsid w:val="1965466D"/>
    <w:rsid w:val="19E44E56"/>
    <w:rsid w:val="1A74767F"/>
    <w:rsid w:val="1A7E23E9"/>
    <w:rsid w:val="1BBA6FE9"/>
    <w:rsid w:val="1C036433"/>
    <w:rsid w:val="1C3A255C"/>
    <w:rsid w:val="1C9A03B6"/>
    <w:rsid w:val="1CB25368"/>
    <w:rsid w:val="1DB574AE"/>
    <w:rsid w:val="1E731E4B"/>
    <w:rsid w:val="1E8A677E"/>
    <w:rsid w:val="1F880A4A"/>
    <w:rsid w:val="1FF05635"/>
    <w:rsid w:val="20143D99"/>
    <w:rsid w:val="20196B32"/>
    <w:rsid w:val="20514D93"/>
    <w:rsid w:val="205E68C0"/>
    <w:rsid w:val="22413AB6"/>
    <w:rsid w:val="228B4EA4"/>
    <w:rsid w:val="22B37BFC"/>
    <w:rsid w:val="23F04653"/>
    <w:rsid w:val="25630156"/>
    <w:rsid w:val="25D64A92"/>
    <w:rsid w:val="25EA1881"/>
    <w:rsid w:val="26DB549E"/>
    <w:rsid w:val="26EC4136"/>
    <w:rsid w:val="271013A9"/>
    <w:rsid w:val="2713434B"/>
    <w:rsid w:val="27B052D9"/>
    <w:rsid w:val="27E11A57"/>
    <w:rsid w:val="28855E8A"/>
    <w:rsid w:val="297A56D7"/>
    <w:rsid w:val="2A827ECE"/>
    <w:rsid w:val="2B997632"/>
    <w:rsid w:val="2C316B17"/>
    <w:rsid w:val="2C3B693B"/>
    <w:rsid w:val="2C9C527B"/>
    <w:rsid w:val="2D282B95"/>
    <w:rsid w:val="2E354181"/>
    <w:rsid w:val="2E421503"/>
    <w:rsid w:val="2EB61B31"/>
    <w:rsid w:val="2FE36494"/>
    <w:rsid w:val="30560CF2"/>
    <w:rsid w:val="30651281"/>
    <w:rsid w:val="30952A9E"/>
    <w:rsid w:val="31460D46"/>
    <w:rsid w:val="31665ED0"/>
    <w:rsid w:val="3180218A"/>
    <w:rsid w:val="31BB7DEC"/>
    <w:rsid w:val="323C138E"/>
    <w:rsid w:val="32DD7BB1"/>
    <w:rsid w:val="35007930"/>
    <w:rsid w:val="353D6568"/>
    <w:rsid w:val="353F226B"/>
    <w:rsid w:val="355B63E3"/>
    <w:rsid w:val="359525D5"/>
    <w:rsid w:val="364D63A5"/>
    <w:rsid w:val="36515D37"/>
    <w:rsid w:val="365F2787"/>
    <w:rsid w:val="36795371"/>
    <w:rsid w:val="376D43A0"/>
    <w:rsid w:val="37712C84"/>
    <w:rsid w:val="37F713BE"/>
    <w:rsid w:val="381F40A2"/>
    <w:rsid w:val="38CC7751"/>
    <w:rsid w:val="38EB7E91"/>
    <w:rsid w:val="3A8871DA"/>
    <w:rsid w:val="3B67221B"/>
    <w:rsid w:val="3BED347A"/>
    <w:rsid w:val="3C8E51FD"/>
    <w:rsid w:val="3CCE444E"/>
    <w:rsid w:val="3E097143"/>
    <w:rsid w:val="3E4619B8"/>
    <w:rsid w:val="3EBD0877"/>
    <w:rsid w:val="3F4B0C7E"/>
    <w:rsid w:val="3F524E0F"/>
    <w:rsid w:val="3F957312"/>
    <w:rsid w:val="3FFD55B0"/>
    <w:rsid w:val="40BA5148"/>
    <w:rsid w:val="40FE63B2"/>
    <w:rsid w:val="41741B70"/>
    <w:rsid w:val="417807C4"/>
    <w:rsid w:val="41E06CA1"/>
    <w:rsid w:val="43710C4D"/>
    <w:rsid w:val="43A8628C"/>
    <w:rsid w:val="43BB412B"/>
    <w:rsid w:val="43C5025B"/>
    <w:rsid w:val="44A95511"/>
    <w:rsid w:val="45B11EE5"/>
    <w:rsid w:val="45C924F7"/>
    <w:rsid w:val="46B64C91"/>
    <w:rsid w:val="48183E65"/>
    <w:rsid w:val="48D43D0B"/>
    <w:rsid w:val="492A0E97"/>
    <w:rsid w:val="499C6DB5"/>
    <w:rsid w:val="4B4D1EF9"/>
    <w:rsid w:val="4B630D67"/>
    <w:rsid w:val="4B745559"/>
    <w:rsid w:val="4C157334"/>
    <w:rsid w:val="4CB6781B"/>
    <w:rsid w:val="4CF0607B"/>
    <w:rsid w:val="4D541092"/>
    <w:rsid w:val="4E481A5E"/>
    <w:rsid w:val="4E8B6FE3"/>
    <w:rsid w:val="4F981855"/>
    <w:rsid w:val="52A64B7F"/>
    <w:rsid w:val="53C07695"/>
    <w:rsid w:val="53FA74D7"/>
    <w:rsid w:val="544E6F61"/>
    <w:rsid w:val="54EF11AD"/>
    <w:rsid w:val="575F1D66"/>
    <w:rsid w:val="584D65EF"/>
    <w:rsid w:val="59473A1E"/>
    <w:rsid w:val="59736004"/>
    <w:rsid w:val="5A072769"/>
    <w:rsid w:val="5A9E0145"/>
    <w:rsid w:val="5AC46257"/>
    <w:rsid w:val="5BB3647D"/>
    <w:rsid w:val="5C1670C0"/>
    <w:rsid w:val="5CCC024F"/>
    <w:rsid w:val="5DC60467"/>
    <w:rsid w:val="5E327A28"/>
    <w:rsid w:val="5E55288A"/>
    <w:rsid w:val="5E687C70"/>
    <w:rsid w:val="5ECD3218"/>
    <w:rsid w:val="5F0B2CFC"/>
    <w:rsid w:val="5F45478C"/>
    <w:rsid w:val="60597988"/>
    <w:rsid w:val="605E1655"/>
    <w:rsid w:val="60613C5F"/>
    <w:rsid w:val="60D3289E"/>
    <w:rsid w:val="61BD37F4"/>
    <w:rsid w:val="61EB05FD"/>
    <w:rsid w:val="625266C8"/>
    <w:rsid w:val="625C6EED"/>
    <w:rsid w:val="63AB1A91"/>
    <w:rsid w:val="63C53D22"/>
    <w:rsid w:val="64181AB6"/>
    <w:rsid w:val="64A5552C"/>
    <w:rsid w:val="65B040C2"/>
    <w:rsid w:val="65E36F9B"/>
    <w:rsid w:val="6690718B"/>
    <w:rsid w:val="67A96FBF"/>
    <w:rsid w:val="684F0E7C"/>
    <w:rsid w:val="689043EA"/>
    <w:rsid w:val="69410B67"/>
    <w:rsid w:val="694F72F4"/>
    <w:rsid w:val="69D07728"/>
    <w:rsid w:val="69D61583"/>
    <w:rsid w:val="6A4A3CEE"/>
    <w:rsid w:val="6A746DC9"/>
    <w:rsid w:val="6B26068A"/>
    <w:rsid w:val="6C0B70B4"/>
    <w:rsid w:val="6CC75121"/>
    <w:rsid w:val="6D371DB8"/>
    <w:rsid w:val="6EE7325B"/>
    <w:rsid w:val="6FAD037E"/>
    <w:rsid w:val="6FDB73C4"/>
    <w:rsid w:val="6FE142AB"/>
    <w:rsid w:val="701215FC"/>
    <w:rsid w:val="708304A5"/>
    <w:rsid w:val="70A80A72"/>
    <w:rsid w:val="70CD0B8D"/>
    <w:rsid w:val="71E532EA"/>
    <w:rsid w:val="71FE19F4"/>
    <w:rsid w:val="72295B7C"/>
    <w:rsid w:val="72AD38C9"/>
    <w:rsid w:val="72F97189"/>
    <w:rsid w:val="73740A11"/>
    <w:rsid w:val="73AB3D2F"/>
    <w:rsid w:val="73C52280"/>
    <w:rsid w:val="7469276F"/>
    <w:rsid w:val="74C0081A"/>
    <w:rsid w:val="75564BC2"/>
    <w:rsid w:val="75834E9E"/>
    <w:rsid w:val="759A626A"/>
    <w:rsid w:val="75A7207D"/>
    <w:rsid w:val="75C614A2"/>
    <w:rsid w:val="760545DB"/>
    <w:rsid w:val="760E0AED"/>
    <w:rsid w:val="76715BDF"/>
    <w:rsid w:val="767540D0"/>
    <w:rsid w:val="77514008"/>
    <w:rsid w:val="77D875CF"/>
    <w:rsid w:val="77EC0ECF"/>
    <w:rsid w:val="786D3355"/>
    <w:rsid w:val="79A4335E"/>
    <w:rsid w:val="79AF21BA"/>
    <w:rsid w:val="7ACA65F1"/>
    <w:rsid w:val="7B613553"/>
    <w:rsid w:val="7B61673A"/>
    <w:rsid w:val="7CB9294D"/>
    <w:rsid w:val="7CD007C7"/>
    <w:rsid w:val="7D0564AB"/>
    <w:rsid w:val="7D8C327C"/>
    <w:rsid w:val="7DDC1F22"/>
    <w:rsid w:val="7DE72742"/>
    <w:rsid w:val="7E4A72A2"/>
    <w:rsid w:val="7E5A3B8B"/>
    <w:rsid w:val="7F3C5391"/>
    <w:rsid w:val="7F5B0B7E"/>
    <w:rsid w:val="7F7F48FA"/>
    <w:rsid w:val="7F852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customStyle="1" w:styleId="3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ScaleCrop>false</ScaleCrop>
  <LinksUpToDate>false</LinksUpToDate>
  <CharactersWithSpaces>16434</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Administrator</cp:lastModifiedBy>
  <cp:lastPrinted>2016-03-29T07:34:00Z</cp:lastPrinted>
  <dcterms:modified xsi:type="dcterms:W3CDTF">2017-11-21T11:49:39Z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